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0DEDB" w14:textId="7E9E4430" w:rsidR="00BE46CC" w:rsidRPr="0064261C" w:rsidRDefault="00CC4AD1" w:rsidP="0064261C">
      <w:pPr>
        <w:pStyle w:val="Heading1"/>
      </w:pPr>
      <w:bookmarkStart w:id="0" w:name="_Toc255070175"/>
      <w:r>
        <w:t xml:space="preserve">Annex 4a - </w:t>
      </w:r>
      <w:bookmarkStart w:id="1" w:name="_GoBack"/>
      <w:bookmarkEnd w:id="1"/>
      <w:r w:rsidR="00BE46CC" w:rsidRPr="0064261C">
        <w:t>Jisc Monitor</w:t>
      </w:r>
      <w:bookmarkStart w:id="2" w:name="_Toc255070176"/>
      <w:bookmarkEnd w:id="0"/>
      <w:r w:rsidR="0064261C">
        <w:t xml:space="preserve"> Overview</w:t>
      </w:r>
    </w:p>
    <w:p w14:paraId="2851242E" w14:textId="3CB7A8C9" w:rsidR="0064261C" w:rsidRPr="0064261C" w:rsidRDefault="00BE46CC" w:rsidP="00056D86">
      <w:pPr>
        <w:pStyle w:val="Heading2"/>
      </w:pPr>
      <w:bookmarkStart w:id="3" w:name="_Toc255070178"/>
      <w:bookmarkEnd w:id="2"/>
      <w:r w:rsidRPr="0064261C">
        <w:t xml:space="preserve">Project </w:t>
      </w:r>
      <w:bookmarkEnd w:id="3"/>
      <w:r w:rsidR="00315358">
        <w:t>summary</w:t>
      </w:r>
    </w:p>
    <w:p w14:paraId="5FCEBE20" w14:textId="445C8848" w:rsidR="00095410" w:rsidRDefault="00095410" w:rsidP="00095410">
      <w:pPr>
        <w:rPr>
          <w:rFonts w:ascii="Verdana" w:hAnsi="Verdana" w:cs="Verdana"/>
          <w:sz w:val="24"/>
          <w:szCs w:val="24"/>
        </w:rPr>
      </w:pPr>
      <w:r>
        <w:t xml:space="preserve">HEFCE policy will mandate open access availability for outputs accepted for publication after 1 April 2016 and submitted to the post -2014 REF. </w:t>
      </w:r>
      <w:r w:rsidRPr="004D02DE">
        <w:t>HEI will expect Jisc to put systems in place to support them in meeting policy requirements. They are likely to need support in monitoring publication output and reporting on compliance with OA policies</w:t>
      </w:r>
      <w:r>
        <w:rPr>
          <w:rFonts w:ascii="Verdana" w:hAnsi="Verdana" w:cs="Verdana"/>
          <w:sz w:val="24"/>
          <w:szCs w:val="24"/>
        </w:rPr>
        <w:t>.</w:t>
      </w:r>
    </w:p>
    <w:p w14:paraId="0C391CB0" w14:textId="2861D1C8" w:rsidR="00042D08" w:rsidRDefault="00042D08" w:rsidP="00042D08">
      <w:r w:rsidRPr="004D02DE">
        <w:t xml:space="preserve">Jisc Monitor, a one-year project starting in </w:t>
      </w:r>
      <w:r>
        <w:t>May</w:t>
      </w:r>
      <w:r w:rsidRPr="004D02DE">
        <w:t xml:space="preserve"> 2014, will explore how a Jisc managed shared service might support institutions in meeting </w:t>
      </w:r>
      <w:r>
        <w:t>HEFCE</w:t>
      </w:r>
      <w:r w:rsidRPr="004D02DE">
        <w:t xml:space="preserve"> </w:t>
      </w:r>
      <w:r>
        <w:t>policy</w:t>
      </w:r>
      <w:r w:rsidRPr="004D02DE">
        <w:t xml:space="preserve">. The project will scope and build proof of concept prototypes to respond to </w:t>
      </w:r>
      <w:r>
        <w:t>specific</w:t>
      </w:r>
      <w:r w:rsidRPr="004D02DE">
        <w:t xml:space="preserve"> use cases</w:t>
      </w:r>
      <w:r>
        <w:t>. P</w:t>
      </w:r>
      <w:r w:rsidRPr="004D02DE">
        <w:t>rototypes will be used to assess the feasibility of developing a service, to scope that service if there is a clearly articulated need for one and to identify priorities for the service.</w:t>
      </w:r>
    </w:p>
    <w:p w14:paraId="51CADFA5" w14:textId="7C44310A" w:rsidR="00BA76D9" w:rsidRPr="00450CD0" w:rsidRDefault="00BA76D9" w:rsidP="00BA76D9">
      <w:pPr>
        <w:spacing w:before="120" w:after="0" w:line="240" w:lineRule="auto"/>
        <w:rPr>
          <w:rFonts w:cs="Arial"/>
          <w:szCs w:val="20"/>
          <w:lang w:val="en-GB"/>
        </w:rPr>
      </w:pPr>
      <w:r>
        <w:t xml:space="preserve">Jisc Monitor will </w:t>
      </w:r>
      <w:r w:rsidRPr="00450CD0">
        <w:rPr>
          <w:rFonts w:cs="Arial"/>
          <w:szCs w:val="20"/>
          <w:lang w:val="en-GB"/>
        </w:rPr>
        <w:t xml:space="preserve">engage </w:t>
      </w:r>
      <w:r>
        <w:rPr>
          <w:rFonts w:cs="Arial"/>
          <w:szCs w:val="20"/>
          <w:lang w:val="en-GB"/>
        </w:rPr>
        <w:t>key stakeholders and encourage their participation and collaboration to explore design and development of a service for HEI.</w:t>
      </w:r>
    </w:p>
    <w:p w14:paraId="5F36BBAE" w14:textId="77777777" w:rsidR="00BA76D9" w:rsidRPr="008D4A34" w:rsidRDefault="00BA76D9" w:rsidP="00042D08"/>
    <w:p w14:paraId="608FB7CA" w14:textId="77777777" w:rsidR="004D02DE" w:rsidRDefault="004D02DE" w:rsidP="0064261C">
      <w:pPr>
        <w:pStyle w:val="Heading2"/>
      </w:pPr>
      <w:r w:rsidRPr="0064261C">
        <w:lastRenderedPageBreak/>
        <w:t>Use cases</w:t>
      </w:r>
    </w:p>
    <w:p w14:paraId="048AB905" w14:textId="771362EC" w:rsidR="0064261C" w:rsidRDefault="00042D08" w:rsidP="0064261C">
      <w:r>
        <w:rPr>
          <w:rFonts w:ascii="Arial" w:hAnsi="Arial" w:cs="Arial"/>
          <w:noProof/>
          <w:szCs w:val="20"/>
          <w:lang w:val="en-GB" w:eastAsia="en-GB"/>
        </w:rPr>
        <w:drawing>
          <wp:inline distT="0" distB="0" distL="0" distR="0" wp14:anchorId="3DC6E0A2" wp14:editId="3E91E5AC">
            <wp:extent cx="5270500" cy="3195688"/>
            <wp:effectExtent l="0" t="57150" r="0" b="1003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58E8B93A" w14:textId="7FC97212" w:rsidR="00BE46CC" w:rsidRPr="00042D08" w:rsidRDefault="00D514AD" w:rsidP="004D02DE">
      <w:r>
        <w:t>Each of the use cases will be supported by a</w:t>
      </w:r>
      <w:r w:rsidR="00042D08">
        <w:t>n exploration of the standards and protocols enabling efficient data exchange.</w:t>
      </w:r>
    </w:p>
    <w:p w14:paraId="51BF945D" w14:textId="77777777" w:rsidR="00BA76D9" w:rsidRDefault="00BA76D9" w:rsidP="00042D08">
      <w:pPr>
        <w:pStyle w:val="Heading2"/>
      </w:pPr>
      <w:bookmarkStart w:id="4" w:name="_Toc255070179"/>
      <w:r>
        <w:t>Benefits and value</w:t>
      </w:r>
    </w:p>
    <w:p w14:paraId="7091B737" w14:textId="60818F12" w:rsidR="00BA76D9" w:rsidRDefault="00BA76D9" w:rsidP="00BA76D9">
      <w:r>
        <w:t>Potential benefits of Jisc Monitor include:</w:t>
      </w:r>
    </w:p>
    <w:p w14:paraId="7FE519DF" w14:textId="77777777" w:rsidR="00BA76D9" w:rsidRDefault="00BA76D9" w:rsidP="00BA76D9">
      <w:pPr>
        <w:pStyle w:val="ListParagraph"/>
        <w:numPr>
          <w:ilvl w:val="0"/>
          <w:numId w:val="10"/>
        </w:numPr>
      </w:pPr>
      <w:r>
        <w:t>Reducing the risk of non-compliance with funder OA policies</w:t>
      </w:r>
    </w:p>
    <w:p w14:paraId="334DD02C" w14:textId="77777777" w:rsidR="00BA76D9" w:rsidRPr="00BA76D9" w:rsidRDefault="00BA76D9" w:rsidP="00BA76D9">
      <w:pPr>
        <w:pStyle w:val="ListParagraph"/>
        <w:numPr>
          <w:ilvl w:val="0"/>
          <w:numId w:val="10"/>
        </w:numPr>
      </w:pPr>
      <w:r>
        <w:t>Saving research managers and librarians</w:t>
      </w:r>
      <w:r w:rsidRPr="00BA76D9">
        <w:rPr>
          <w:rFonts w:cs="Arial"/>
          <w:szCs w:val="20"/>
          <w:lang w:val="en-GB"/>
        </w:rPr>
        <w:t xml:space="preserve"> time</w:t>
      </w:r>
    </w:p>
    <w:p w14:paraId="79F1DE75" w14:textId="2167F001" w:rsidR="00BA76D9" w:rsidRPr="00BA76D9" w:rsidRDefault="00BA76D9" w:rsidP="00BA76D9">
      <w:pPr>
        <w:pStyle w:val="ListParagraph"/>
        <w:numPr>
          <w:ilvl w:val="0"/>
          <w:numId w:val="10"/>
        </w:numPr>
      </w:pPr>
      <w:r w:rsidRPr="00BA76D9">
        <w:rPr>
          <w:rFonts w:cs="Arial"/>
          <w:szCs w:val="20"/>
          <w:lang w:val="en-GB"/>
        </w:rPr>
        <w:lastRenderedPageBreak/>
        <w:t xml:space="preserve">Encouraging development of and adherence to global standards </w:t>
      </w:r>
      <w:r w:rsidR="00315358">
        <w:rPr>
          <w:rFonts w:cs="Arial"/>
          <w:szCs w:val="20"/>
          <w:lang w:val="en-GB"/>
        </w:rPr>
        <w:t xml:space="preserve">resulting in benefits for librarians, repository and research managers, </w:t>
      </w:r>
      <w:r w:rsidR="008911BA">
        <w:rPr>
          <w:rFonts w:cs="Arial"/>
          <w:szCs w:val="20"/>
          <w:lang w:val="en-GB"/>
        </w:rPr>
        <w:t>publishers,</w:t>
      </w:r>
      <w:r w:rsidR="00584E0F">
        <w:rPr>
          <w:rFonts w:cs="Arial"/>
          <w:szCs w:val="20"/>
          <w:lang w:val="en-GB"/>
        </w:rPr>
        <w:t xml:space="preserve"> research councils </w:t>
      </w:r>
      <w:r w:rsidR="00315358">
        <w:rPr>
          <w:rFonts w:cs="Arial"/>
          <w:szCs w:val="20"/>
          <w:lang w:val="en-GB"/>
        </w:rPr>
        <w:t>and funders</w:t>
      </w:r>
    </w:p>
    <w:p w14:paraId="49DE8A0D" w14:textId="3DAB914C" w:rsidR="0064261C" w:rsidRPr="0064261C" w:rsidRDefault="00BE46CC" w:rsidP="00042D08">
      <w:pPr>
        <w:pStyle w:val="Heading2"/>
      </w:pPr>
      <w:r w:rsidRPr="00BE46CC">
        <w:t>Project deliverables</w:t>
      </w:r>
      <w:bookmarkEnd w:id="4"/>
    </w:p>
    <w:p w14:paraId="7962EAF6" w14:textId="4F72D48A" w:rsidR="00BE46CC" w:rsidRPr="0064261C" w:rsidRDefault="00BE46CC" w:rsidP="004D02DE">
      <w:pPr>
        <w:rPr>
          <w:rFonts w:cs="Arial"/>
          <w:szCs w:val="20"/>
        </w:rPr>
      </w:pPr>
      <w:r w:rsidRPr="0064261C">
        <w:rPr>
          <w:rFonts w:cs="Arial"/>
          <w:szCs w:val="20"/>
        </w:rPr>
        <w:t xml:space="preserve">By </w:t>
      </w:r>
      <w:r w:rsidR="00042D08">
        <w:rPr>
          <w:rFonts w:cs="Arial"/>
          <w:szCs w:val="20"/>
        </w:rPr>
        <w:t>April</w:t>
      </w:r>
      <w:r w:rsidRPr="0064261C">
        <w:rPr>
          <w:rFonts w:cs="Arial"/>
          <w:szCs w:val="20"/>
        </w:rPr>
        <w:t xml:space="preserve"> 2015 it is expected that project deliverables will include:</w:t>
      </w:r>
    </w:p>
    <w:p w14:paraId="62DCE231" w14:textId="0350A06E" w:rsidR="00BE46CC" w:rsidRPr="0064261C" w:rsidRDefault="00BE46CC" w:rsidP="00BE46CC">
      <w:pPr>
        <w:pStyle w:val="ListParagraph"/>
        <w:numPr>
          <w:ilvl w:val="0"/>
          <w:numId w:val="6"/>
        </w:numPr>
        <w:rPr>
          <w:rFonts w:cs="Arial"/>
          <w:szCs w:val="20"/>
        </w:rPr>
      </w:pPr>
      <w:r w:rsidRPr="0064261C">
        <w:rPr>
          <w:rFonts w:cs="Arial"/>
          <w:szCs w:val="20"/>
        </w:rPr>
        <w:t>Functioning prototypes mapped to high-level use cases</w:t>
      </w:r>
    </w:p>
    <w:p w14:paraId="4EDE5155" w14:textId="77777777" w:rsidR="00BE46CC" w:rsidRPr="0064261C" w:rsidRDefault="00BE46CC" w:rsidP="00BE46CC">
      <w:pPr>
        <w:pStyle w:val="ListParagraph"/>
        <w:numPr>
          <w:ilvl w:val="0"/>
          <w:numId w:val="6"/>
        </w:numPr>
        <w:rPr>
          <w:rFonts w:cs="Arial"/>
          <w:szCs w:val="20"/>
        </w:rPr>
      </w:pPr>
      <w:r w:rsidRPr="0064261C">
        <w:rPr>
          <w:rFonts w:cs="Arial"/>
          <w:szCs w:val="20"/>
        </w:rPr>
        <w:t>The prototypes must be supported by robust user feedback together with a critical assessment of the opportunities, challenges and dependencies that are likely to impact development of service components</w:t>
      </w:r>
    </w:p>
    <w:p w14:paraId="41E31A6C" w14:textId="5F27C795" w:rsidR="00BE46CC" w:rsidRPr="0064261C" w:rsidRDefault="00BE46CC" w:rsidP="00BE46CC">
      <w:pPr>
        <w:pStyle w:val="ListParagraph"/>
        <w:numPr>
          <w:ilvl w:val="0"/>
          <w:numId w:val="6"/>
        </w:numPr>
        <w:rPr>
          <w:rFonts w:cs="Arial"/>
          <w:szCs w:val="20"/>
        </w:rPr>
      </w:pPr>
      <w:r w:rsidRPr="0064261C">
        <w:rPr>
          <w:rFonts w:cs="Arial"/>
          <w:szCs w:val="20"/>
        </w:rPr>
        <w:t xml:space="preserve">Recommendations for further development of service components, if appropriate. This </w:t>
      </w:r>
      <w:r w:rsidR="002365F1">
        <w:rPr>
          <w:rFonts w:cs="Arial"/>
          <w:szCs w:val="20"/>
        </w:rPr>
        <w:t>will</w:t>
      </w:r>
      <w:r w:rsidRPr="0064261C">
        <w:rPr>
          <w:rFonts w:cs="Arial"/>
          <w:szCs w:val="20"/>
        </w:rPr>
        <w:t xml:space="preserve"> include a rationale, assessment of need, likely impacts and activities required to develop service components. It should also position the service components in context by including a critical evaluation and assessment of related services and initiatives </w:t>
      </w:r>
    </w:p>
    <w:p w14:paraId="0E70A538" w14:textId="349484E3" w:rsidR="00BE46CC" w:rsidRPr="00042D08" w:rsidRDefault="00BE46CC" w:rsidP="00042D08">
      <w:pPr>
        <w:pStyle w:val="ListParagraph"/>
        <w:numPr>
          <w:ilvl w:val="0"/>
          <w:numId w:val="6"/>
        </w:numPr>
        <w:rPr>
          <w:rFonts w:cs="Arial"/>
          <w:szCs w:val="20"/>
        </w:rPr>
      </w:pPr>
      <w:r w:rsidRPr="0064261C">
        <w:rPr>
          <w:rFonts w:cs="Arial"/>
          <w:szCs w:val="20"/>
        </w:rPr>
        <w:t>Each of the prototypes must and released as free and open source software by April 2015.</w:t>
      </w:r>
    </w:p>
    <w:p w14:paraId="7A92B82A" w14:textId="76E7B8BA" w:rsidR="00BA76D9" w:rsidRDefault="00315358" w:rsidP="00BA76D9">
      <w:pPr>
        <w:pStyle w:val="Heading2"/>
      </w:pPr>
      <w:bookmarkStart w:id="5" w:name="_Toc255070177"/>
      <w:r>
        <w:lastRenderedPageBreak/>
        <w:t>Development t</w:t>
      </w:r>
      <w:r w:rsidR="00BA76D9">
        <w:t>eam</w:t>
      </w:r>
    </w:p>
    <w:p w14:paraId="69B01107" w14:textId="77777777" w:rsidR="00BA76D9" w:rsidRDefault="00BA76D9" w:rsidP="00BA76D9">
      <w:pPr>
        <w:pStyle w:val="ListParagraph"/>
        <w:numPr>
          <w:ilvl w:val="0"/>
          <w:numId w:val="11"/>
        </w:numPr>
      </w:pPr>
      <w:r>
        <w:t>Mimas has been awarded a grant to develop Jisc Monitor. Mimas will utilize the skills and expertise of project partners Sero Consulting, Cottage Labs and Knowledge Integration.</w:t>
      </w:r>
    </w:p>
    <w:p w14:paraId="228A176E" w14:textId="77777777" w:rsidR="00BA76D9" w:rsidRDefault="00BA76D9" w:rsidP="00BA76D9">
      <w:pPr>
        <w:pStyle w:val="ListParagraph"/>
        <w:numPr>
          <w:ilvl w:val="0"/>
          <w:numId w:val="11"/>
        </w:numPr>
      </w:pPr>
      <w:r>
        <w:t>Jo Lambert is project manager</w:t>
      </w:r>
    </w:p>
    <w:p w14:paraId="26B1A14B" w14:textId="77777777" w:rsidR="00BA76D9" w:rsidRDefault="00BA76D9" w:rsidP="00BA76D9">
      <w:pPr>
        <w:pStyle w:val="ListParagraph"/>
        <w:numPr>
          <w:ilvl w:val="0"/>
          <w:numId w:val="11"/>
        </w:numPr>
      </w:pPr>
      <w:r>
        <w:t>Brian Mitchell is technical lead</w:t>
      </w:r>
    </w:p>
    <w:p w14:paraId="2C8848B9" w14:textId="347A16FD" w:rsidR="00BE46CC" w:rsidRPr="00042D08" w:rsidRDefault="00BE46CC" w:rsidP="00042D08">
      <w:pPr>
        <w:pStyle w:val="Heading1"/>
        <w:rPr>
          <w:rFonts w:ascii="Arial" w:hAnsi="Arial" w:cs="Arial"/>
          <w:sz w:val="20"/>
          <w:szCs w:val="20"/>
        </w:rPr>
      </w:pPr>
      <w:r w:rsidRPr="00BE46CC">
        <w:rPr>
          <w:rFonts w:ascii="Arial" w:hAnsi="Arial" w:cs="Arial"/>
          <w:sz w:val="20"/>
          <w:szCs w:val="20"/>
        </w:rPr>
        <w:t xml:space="preserve">Context </w:t>
      </w:r>
      <w:bookmarkEnd w:id="5"/>
    </w:p>
    <w:p w14:paraId="035AB701" w14:textId="77777777" w:rsidR="004D02DE" w:rsidRPr="0064261C" w:rsidRDefault="00BE46CC" w:rsidP="0064261C">
      <w:r w:rsidRPr="0064261C">
        <w:t>The rationale for Jisc Monitor is a direct consequence of the Jisc APC pilot project with the research outputs of Jisc APC influencing</w:t>
      </w:r>
      <w:r w:rsidR="004D02DE" w:rsidRPr="0064261C">
        <w:t xml:space="preserve"> Jisc Monitor. Following the Finch report and the RCUK-funded mandate, Jisc Collections felt that it was important to trial a solution for the management of APCs as quickly as possible. In response to this the Jisc APC pilot aimed to engage institutions, funders, publishers and intermediaries to research key issues and challenges, whilst also providing an online administration platform for a selection of pilot institutions.</w:t>
      </w:r>
    </w:p>
    <w:p w14:paraId="4A2B5404" w14:textId="2FBE11E8" w:rsidR="00BE46CC" w:rsidRPr="00635E61" w:rsidRDefault="004D02DE" w:rsidP="004D02DE">
      <w:r w:rsidRPr="004D02DE">
        <w:t xml:space="preserve">The research activities of the project have provided some valuable insights into the issues surrounding the management of APCs and the role of an intermediary service and these are being made available as a series of case studies </w:t>
      </w:r>
      <w:r w:rsidR="00635E61">
        <w:t>and best practice guidelines by</w:t>
      </w:r>
      <w:r w:rsidRPr="004D02DE">
        <w:t xml:space="preserve"> July 2014.</w:t>
      </w:r>
      <w:r w:rsidR="0064261C">
        <w:t xml:space="preserve"> In</w:t>
      </w:r>
      <w:r w:rsidR="0064261C" w:rsidRPr="00036539">
        <w:t xml:space="preserve"> reflecting </w:t>
      </w:r>
      <w:r w:rsidR="0064261C">
        <w:t xml:space="preserve">on </w:t>
      </w:r>
      <w:r w:rsidR="0064261C" w:rsidRPr="00036539">
        <w:t xml:space="preserve">some of the challenges experienced by institutions in managing </w:t>
      </w:r>
      <w:r w:rsidR="00D514AD">
        <w:t>o</w:t>
      </w:r>
      <w:r w:rsidR="0064261C" w:rsidRPr="00036539">
        <w:t xml:space="preserve">pen </w:t>
      </w:r>
      <w:r w:rsidR="00D514AD">
        <w:t>a</w:t>
      </w:r>
      <w:r w:rsidR="0064261C" w:rsidRPr="00036539">
        <w:t>ccess publication activity</w:t>
      </w:r>
      <w:r w:rsidR="0064261C">
        <w:t xml:space="preserve">, </w:t>
      </w:r>
      <w:r w:rsidR="0064261C" w:rsidRPr="00036539">
        <w:t>there</w:t>
      </w:r>
      <w:r w:rsidR="0064261C">
        <w:t xml:space="preserve"> are</w:t>
      </w:r>
      <w:r w:rsidR="0064261C" w:rsidRPr="00036539">
        <w:t xml:space="preserve"> a broad range of </w:t>
      </w:r>
      <w:r w:rsidR="0064261C">
        <w:t>areas</w:t>
      </w:r>
      <w:r w:rsidR="0064261C" w:rsidRPr="00036539">
        <w:t xml:space="preserve"> </w:t>
      </w:r>
      <w:r w:rsidR="0064261C">
        <w:t>that</w:t>
      </w:r>
      <w:r w:rsidR="0064261C" w:rsidRPr="00036539">
        <w:t xml:space="preserve"> people would like </w:t>
      </w:r>
      <w:r w:rsidR="0064261C" w:rsidRPr="00036539">
        <w:lastRenderedPageBreak/>
        <w:t>support</w:t>
      </w:r>
      <w:r w:rsidR="0064261C">
        <w:t xml:space="preserve"> with</w:t>
      </w:r>
      <w:r w:rsidR="0064261C" w:rsidRPr="00036539">
        <w:t xml:space="preserve">. These include monitoring </w:t>
      </w:r>
      <w:r w:rsidR="0064261C">
        <w:t xml:space="preserve">all </w:t>
      </w:r>
      <w:r w:rsidR="0064261C" w:rsidRPr="00036539">
        <w:t xml:space="preserve">publication activity, </w:t>
      </w:r>
      <w:r w:rsidR="0064261C">
        <w:t xml:space="preserve">clarifying details for </w:t>
      </w:r>
      <w:r w:rsidR="0064261C" w:rsidRPr="00036539">
        <w:t>compliance with funder mandates</w:t>
      </w:r>
      <w:r w:rsidR="0064261C">
        <w:t xml:space="preserve"> (which includes reporting), monitoring spend (publication charges), and avoiding duplication of effort by enabling systems’ interoperability and collaboration on standards development. </w:t>
      </w:r>
      <w:r w:rsidR="00635E61" w:rsidRPr="00635E61">
        <w:t xml:space="preserve">Jisc Monitor </w:t>
      </w:r>
      <w:r w:rsidR="00635E61">
        <w:t>aims to</w:t>
      </w:r>
      <w:r w:rsidR="00635E61" w:rsidRPr="00635E61">
        <w:t xml:space="preserve"> respond to </w:t>
      </w:r>
      <w:r w:rsidR="00635E61">
        <w:t>this broader set of</w:t>
      </w:r>
      <w:r w:rsidR="00635E61" w:rsidRPr="00635E61">
        <w:t xml:space="preserve"> requirements.</w:t>
      </w:r>
    </w:p>
    <w:p w14:paraId="3B7641EB" w14:textId="180D0024" w:rsidR="002365F1" w:rsidRPr="00042D08" w:rsidRDefault="002365F1" w:rsidP="002365F1">
      <w:pPr>
        <w:pStyle w:val="Heading1"/>
        <w:rPr>
          <w:rFonts w:ascii="Arial" w:hAnsi="Arial" w:cs="Arial"/>
          <w:sz w:val="20"/>
          <w:szCs w:val="20"/>
        </w:rPr>
      </w:pPr>
      <w:r>
        <w:rPr>
          <w:rFonts w:ascii="Arial" w:hAnsi="Arial" w:cs="Arial"/>
          <w:sz w:val="20"/>
          <w:szCs w:val="20"/>
        </w:rPr>
        <w:t xml:space="preserve">Questions for SCAG </w:t>
      </w:r>
    </w:p>
    <w:p w14:paraId="51DF57E2" w14:textId="262EE87A" w:rsidR="00C06EA0" w:rsidRDefault="00584E0F">
      <w:pPr>
        <w:rPr>
          <w:rFonts w:ascii="Arial" w:hAnsi="Arial" w:cs="Arial"/>
          <w:szCs w:val="20"/>
        </w:rPr>
      </w:pPr>
      <w:r>
        <w:rPr>
          <w:rFonts w:ascii="Arial" w:hAnsi="Arial" w:cs="Arial"/>
          <w:szCs w:val="20"/>
        </w:rPr>
        <w:t>The development team would appreciate advice and comments on the following:</w:t>
      </w:r>
    </w:p>
    <w:p w14:paraId="0516EEDF" w14:textId="10FD55D4" w:rsidR="008911BA" w:rsidRDefault="008911BA" w:rsidP="00584E0F">
      <w:pPr>
        <w:pStyle w:val="ListParagraph"/>
        <w:numPr>
          <w:ilvl w:val="0"/>
          <w:numId w:val="13"/>
        </w:numPr>
        <w:rPr>
          <w:rFonts w:ascii="Arial" w:hAnsi="Arial" w:cs="Arial"/>
          <w:szCs w:val="20"/>
        </w:rPr>
      </w:pPr>
      <w:r>
        <w:rPr>
          <w:rFonts w:ascii="Arial" w:hAnsi="Arial" w:cs="Arial"/>
          <w:szCs w:val="20"/>
        </w:rPr>
        <w:t>Where do you think that Jisc Monitor has potential to provide most value?</w:t>
      </w:r>
    </w:p>
    <w:p w14:paraId="135104B9" w14:textId="5C03EB85" w:rsidR="00584E0F" w:rsidRDefault="00584E0F" w:rsidP="00584E0F">
      <w:pPr>
        <w:pStyle w:val="ListParagraph"/>
        <w:numPr>
          <w:ilvl w:val="0"/>
          <w:numId w:val="13"/>
        </w:numPr>
        <w:rPr>
          <w:rFonts w:ascii="Arial" w:hAnsi="Arial" w:cs="Arial"/>
          <w:szCs w:val="20"/>
        </w:rPr>
      </w:pPr>
      <w:r>
        <w:rPr>
          <w:rFonts w:ascii="Arial" w:hAnsi="Arial" w:cs="Arial"/>
          <w:szCs w:val="20"/>
        </w:rPr>
        <w:t>What are the opportunities and the risks for Jisc Monitor?</w:t>
      </w:r>
    </w:p>
    <w:p w14:paraId="69D2CB47" w14:textId="12EDDA80" w:rsidR="00584E0F" w:rsidRDefault="00584E0F" w:rsidP="00584E0F">
      <w:pPr>
        <w:pStyle w:val="ListParagraph"/>
        <w:numPr>
          <w:ilvl w:val="0"/>
          <w:numId w:val="13"/>
        </w:numPr>
        <w:rPr>
          <w:rFonts w:ascii="Arial" w:hAnsi="Arial" w:cs="Arial"/>
          <w:szCs w:val="20"/>
        </w:rPr>
      </w:pPr>
      <w:r>
        <w:rPr>
          <w:rFonts w:ascii="Arial" w:hAnsi="Arial" w:cs="Arial"/>
          <w:szCs w:val="20"/>
        </w:rPr>
        <w:t>What other related projects/initiatives could/should Jisc Monitor interact with?</w:t>
      </w:r>
    </w:p>
    <w:p w14:paraId="3B8079CC" w14:textId="7646F325" w:rsidR="00584E0F" w:rsidRDefault="00584E0F" w:rsidP="00584E0F">
      <w:pPr>
        <w:pStyle w:val="ListParagraph"/>
        <w:numPr>
          <w:ilvl w:val="0"/>
          <w:numId w:val="13"/>
        </w:numPr>
        <w:rPr>
          <w:rFonts w:ascii="Arial" w:hAnsi="Arial" w:cs="Arial"/>
          <w:szCs w:val="20"/>
        </w:rPr>
      </w:pPr>
      <w:r>
        <w:rPr>
          <w:rFonts w:ascii="Arial" w:hAnsi="Arial" w:cs="Arial"/>
          <w:szCs w:val="20"/>
        </w:rPr>
        <w:t xml:space="preserve">What are the challenges for </w:t>
      </w:r>
      <w:r w:rsidR="00E34F09">
        <w:rPr>
          <w:rFonts w:ascii="Arial" w:hAnsi="Arial" w:cs="Arial"/>
          <w:szCs w:val="20"/>
        </w:rPr>
        <w:t>organisations</w:t>
      </w:r>
      <w:r>
        <w:rPr>
          <w:rFonts w:ascii="Arial" w:hAnsi="Arial" w:cs="Arial"/>
          <w:szCs w:val="20"/>
        </w:rPr>
        <w:t xml:space="preserve"> with reference to the use cases </w:t>
      </w:r>
      <w:r w:rsidR="00E34F09">
        <w:rPr>
          <w:rFonts w:ascii="Arial" w:hAnsi="Arial" w:cs="Arial"/>
          <w:szCs w:val="20"/>
        </w:rPr>
        <w:t xml:space="preserve">and do you have particular recommendations for capturing and collating this information? </w:t>
      </w:r>
    </w:p>
    <w:p w14:paraId="5529B22D" w14:textId="1306C096" w:rsidR="00E34F09" w:rsidRDefault="00E34F09" w:rsidP="00E34F09">
      <w:pPr>
        <w:pStyle w:val="ListParagraph"/>
        <w:numPr>
          <w:ilvl w:val="0"/>
          <w:numId w:val="13"/>
        </w:numPr>
        <w:rPr>
          <w:rFonts w:ascii="Arial" w:hAnsi="Arial" w:cs="Arial"/>
          <w:szCs w:val="20"/>
        </w:rPr>
      </w:pPr>
      <w:r>
        <w:rPr>
          <w:rFonts w:ascii="Arial" w:hAnsi="Arial" w:cs="Arial"/>
          <w:szCs w:val="20"/>
        </w:rPr>
        <w:t xml:space="preserve">Do you have any </w:t>
      </w:r>
      <w:r w:rsidR="008911BA">
        <w:rPr>
          <w:rFonts w:ascii="Arial" w:hAnsi="Arial" w:cs="Arial"/>
          <w:szCs w:val="20"/>
        </w:rPr>
        <w:t xml:space="preserve">other </w:t>
      </w:r>
      <w:r>
        <w:rPr>
          <w:rFonts w:ascii="Arial" w:hAnsi="Arial" w:cs="Arial"/>
          <w:szCs w:val="20"/>
        </w:rPr>
        <w:t>comments or recommendations on the approach taken to project development?</w:t>
      </w:r>
    </w:p>
    <w:p w14:paraId="2167D31C" w14:textId="02741CC6" w:rsidR="00584E0F" w:rsidRPr="004D02DE" w:rsidRDefault="00584E0F">
      <w:pPr>
        <w:rPr>
          <w:rFonts w:ascii="Arial" w:hAnsi="Arial" w:cs="Arial"/>
          <w:szCs w:val="20"/>
        </w:rPr>
      </w:pPr>
    </w:p>
    <w:sectPr w:rsidR="00584E0F" w:rsidRPr="004D02DE" w:rsidSect="00C06EA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95D5F"/>
    <w:multiLevelType w:val="hybridMultilevel"/>
    <w:tmpl w:val="84123B5E"/>
    <w:lvl w:ilvl="0" w:tplc="81B0BAD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9152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AA12FA"/>
    <w:multiLevelType w:val="hybridMultilevel"/>
    <w:tmpl w:val="8B1C3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C2715B"/>
    <w:multiLevelType w:val="hybridMultilevel"/>
    <w:tmpl w:val="12AA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D78F8"/>
    <w:multiLevelType w:val="hybridMultilevel"/>
    <w:tmpl w:val="25DE10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F656F3"/>
    <w:multiLevelType w:val="hybridMultilevel"/>
    <w:tmpl w:val="DF74F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8180F"/>
    <w:multiLevelType w:val="hybridMultilevel"/>
    <w:tmpl w:val="35160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49341BA"/>
    <w:multiLevelType w:val="hybridMultilevel"/>
    <w:tmpl w:val="6FFA2D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5C6CED"/>
    <w:multiLevelType w:val="hybridMultilevel"/>
    <w:tmpl w:val="4DE82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CD5E34"/>
    <w:multiLevelType w:val="hybridMultilevel"/>
    <w:tmpl w:val="86D87E62"/>
    <w:lvl w:ilvl="0" w:tplc="81B0BADC">
      <w:start w:val="1"/>
      <w:numFmt w:val="upperRoman"/>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9846AF"/>
    <w:multiLevelType w:val="hybridMultilevel"/>
    <w:tmpl w:val="DFBA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0C45D5"/>
    <w:multiLevelType w:val="hybridMultilevel"/>
    <w:tmpl w:val="8C60A8DA"/>
    <w:lvl w:ilvl="0" w:tplc="5ED0E66E">
      <w:start w:val="1"/>
      <w:numFmt w:val="bullet"/>
      <w:lvlText w:val="•"/>
      <w:lvlJc w:val="left"/>
      <w:pPr>
        <w:tabs>
          <w:tab w:val="num" w:pos="720"/>
        </w:tabs>
        <w:ind w:left="720" w:hanging="360"/>
      </w:pPr>
      <w:rPr>
        <w:rFonts w:ascii="Times" w:hAnsi="Times" w:hint="default"/>
      </w:rPr>
    </w:lvl>
    <w:lvl w:ilvl="1" w:tplc="915619AE" w:tentative="1">
      <w:start w:val="1"/>
      <w:numFmt w:val="bullet"/>
      <w:lvlText w:val="•"/>
      <w:lvlJc w:val="left"/>
      <w:pPr>
        <w:tabs>
          <w:tab w:val="num" w:pos="1440"/>
        </w:tabs>
        <w:ind w:left="1440" w:hanging="360"/>
      </w:pPr>
      <w:rPr>
        <w:rFonts w:ascii="Times" w:hAnsi="Times" w:hint="default"/>
      </w:rPr>
    </w:lvl>
    <w:lvl w:ilvl="2" w:tplc="A7E459D6" w:tentative="1">
      <w:start w:val="1"/>
      <w:numFmt w:val="bullet"/>
      <w:lvlText w:val="•"/>
      <w:lvlJc w:val="left"/>
      <w:pPr>
        <w:tabs>
          <w:tab w:val="num" w:pos="2160"/>
        </w:tabs>
        <w:ind w:left="2160" w:hanging="360"/>
      </w:pPr>
      <w:rPr>
        <w:rFonts w:ascii="Times" w:hAnsi="Times" w:hint="default"/>
      </w:rPr>
    </w:lvl>
    <w:lvl w:ilvl="3" w:tplc="0172E016" w:tentative="1">
      <w:start w:val="1"/>
      <w:numFmt w:val="bullet"/>
      <w:lvlText w:val="•"/>
      <w:lvlJc w:val="left"/>
      <w:pPr>
        <w:tabs>
          <w:tab w:val="num" w:pos="2880"/>
        </w:tabs>
        <w:ind w:left="2880" w:hanging="360"/>
      </w:pPr>
      <w:rPr>
        <w:rFonts w:ascii="Times" w:hAnsi="Times" w:hint="default"/>
      </w:rPr>
    </w:lvl>
    <w:lvl w:ilvl="4" w:tplc="495A8738" w:tentative="1">
      <w:start w:val="1"/>
      <w:numFmt w:val="bullet"/>
      <w:lvlText w:val="•"/>
      <w:lvlJc w:val="left"/>
      <w:pPr>
        <w:tabs>
          <w:tab w:val="num" w:pos="3600"/>
        </w:tabs>
        <w:ind w:left="3600" w:hanging="360"/>
      </w:pPr>
      <w:rPr>
        <w:rFonts w:ascii="Times" w:hAnsi="Times" w:hint="default"/>
      </w:rPr>
    </w:lvl>
    <w:lvl w:ilvl="5" w:tplc="E0384CB4" w:tentative="1">
      <w:start w:val="1"/>
      <w:numFmt w:val="bullet"/>
      <w:lvlText w:val="•"/>
      <w:lvlJc w:val="left"/>
      <w:pPr>
        <w:tabs>
          <w:tab w:val="num" w:pos="4320"/>
        </w:tabs>
        <w:ind w:left="4320" w:hanging="360"/>
      </w:pPr>
      <w:rPr>
        <w:rFonts w:ascii="Times" w:hAnsi="Times" w:hint="default"/>
      </w:rPr>
    </w:lvl>
    <w:lvl w:ilvl="6" w:tplc="16425F28" w:tentative="1">
      <w:start w:val="1"/>
      <w:numFmt w:val="bullet"/>
      <w:lvlText w:val="•"/>
      <w:lvlJc w:val="left"/>
      <w:pPr>
        <w:tabs>
          <w:tab w:val="num" w:pos="5040"/>
        </w:tabs>
        <w:ind w:left="5040" w:hanging="360"/>
      </w:pPr>
      <w:rPr>
        <w:rFonts w:ascii="Times" w:hAnsi="Times" w:hint="default"/>
      </w:rPr>
    </w:lvl>
    <w:lvl w:ilvl="7" w:tplc="F04C31DE" w:tentative="1">
      <w:start w:val="1"/>
      <w:numFmt w:val="bullet"/>
      <w:lvlText w:val="•"/>
      <w:lvlJc w:val="left"/>
      <w:pPr>
        <w:tabs>
          <w:tab w:val="num" w:pos="5760"/>
        </w:tabs>
        <w:ind w:left="5760" w:hanging="360"/>
      </w:pPr>
      <w:rPr>
        <w:rFonts w:ascii="Times" w:hAnsi="Times" w:hint="default"/>
      </w:rPr>
    </w:lvl>
    <w:lvl w:ilvl="8" w:tplc="8AEE4FD0" w:tentative="1">
      <w:start w:val="1"/>
      <w:numFmt w:val="bullet"/>
      <w:lvlText w:val="•"/>
      <w:lvlJc w:val="left"/>
      <w:pPr>
        <w:tabs>
          <w:tab w:val="num" w:pos="6480"/>
        </w:tabs>
        <w:ind w:left="6480" w:hanging="360"/>
      </w:pPr>
      <w:rPr>
        <w:rFonts w:ascii="Times" w:hAnsi="Times" w:hint="default"/>
      </w:rPr>
    </w:lvl>
  </w:abstractNum>
  <w:abstractNum w:abstractNumId="12">
    <w:nsid w:val="7DBB4B4B"/>
    <w:multiLevelType w:val="hybridMultilevel"/>
    <w:tmpl w:val="8800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8"/>
  </w:num>
  <w:num w:numId="5">
    <w:abstractNumId w:val="6"/>
  </w:num>
  <w:num w:numId="6">
    <w:abstractNumId w:val="0"/>
  </w:num>
  <w:num w:numId="7">
    <w:abstractNumId w:val="7"/>
  </w:num>
  <w:num w:numId="8">
    <w:abstractNumId w:val="11"/>
  </w:num>
  <w:num w:numId="9">
    <w:abstractNumId w:val="2"/>
  </w:num>
  <w:num w:numId="10">
    <w:abstractNumId w:val="3"/>
  </w:num>
  <w:num w:numId="11">
    <w:abstractNumId w:val="1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6CC"/>
    <w:rsid w:val="00042D08"/>
    <w:rsid w:val="00056D86"/>
    <w:rsid w:val="00095410"/>
    <w:rsid w:val="002365F1"/>
    <w:rsid w:val="00315358"/>
    <w:rsid w:val="004D02DE"/>
    <w:rsid w:val="00584E0F"/>
    <w:rsid w:val="00635E61"/>
    <w:rsid w:val="0064261C"/>
    <w:rsid w:val="008341C0"/>
    <w:rsid w:val="008911BA"/>
    <w:rsid w:val="00BA76D9"/>
    <w:rsid w:val="00BE46CC"/>
    <w:rsid w:val="00C06EA0"/>
    <w:rsid w:val="00CC4AD1"/>
    <w:rsid w:val="00D514AD"/>
    <w:rsid w:val="00E34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646E53"/>
  <w14:defaultImageDpi w14:val="300"/>
  <w15:docId w15:val="{447C1B54-0B7B-4C43-B44B-D73A0AF2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61C"/>
    <w:pPr>
      <w:spacing w:after="200" w:line="276" w:lineRule="auto"/>
    </w:pPr>
    <w:rPr>
      <w:rFonts w:ascii="Calibri" w:hAnsi="Calibri"/>
      <w:sz w:val="20"/>
      <w:szCs w:val="22"/>
    </w:rPr>
  </w:style>
  <w:style w:type="paragraph" w:styleId="Heading1">
    <w:name w:val="heading 1"/>
    <w:basedOn w:val="Normal"/>
    <w:next w:val="Normal"/>
    <w:link w:val="Heading1Char"/>
    <w:uiPriority w:val="9"/>
    <w:qFormat/>
    <w:rsid w:val="0064261C"/>
    <w:pPr>
      <w:keepNext/>
      <w:keepLines/>
      <w:spacing w:before="480" w:after="0"/>
      <w:outlineLvl w:val="0"/>
    </w:pPr>
    <w:rPr>
      <w:rFonts w:asciiTheme="majorHAnsi" w:eastAsiaTheme="majorEastAsia" w:hAnsiTheme="majorHAnsi"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64261C"/>
    <w:pPr>
      <w:keepNext/>
      <w:keepLines/>
      <w:spacing w:before="200" w:after="0"/>
      <w:outlineLvl w:val="1"/>
    </w:pPr>
    <w:rPr>
      <w:rFonts w:asciiTheme="majorHAnsi" w:eastAsiaTheme="majorEastAsia" w:hAnsiTheme="majorHAnsi" w:cstheme="majorBidi"/>
      <w:b/>
      <w:bCs/>
      <w:color w:val="4F81BD"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61C"/>
    <w:rPr>
      <w:rFonts w:asciiTheme="majorHAnsi" w:eastAsiaTheme="majorEastAsia" w:hAnsiTheme="majorHAnsi" w:cstheme="majorBidi"/>
      <w:b/>
      <w:bCs/>
      <w:color w:val="365F91" w:themeColor="accent1" w:themeShade="BF"/>
      <w:szCs w:val="28"/>
    </w:rPr>
  </w:style>
  <w:style w:type="paragraph" w:styleId="ListParagraph">
    <w:name w:val="List Paragraph"/>
    <w:basedOn w:val="Normal"/>
    <w:link w:val="ListParagraphChar"/>
    <w:uiPriority w:val="34"/>
    <w:qFormat/>
    <w:rsid w:val="00BE46CC"/>
    <w:pPr>
      <w:ind w:left="720"/>
      <w:contextualSpacing/>
    </w:pPr>
  </w:style>
  <w:style w:type="character" w:customStyle="1" w:styleId="ListParagraphChar">
    <w:name w:val="List Paragraph Char"/>
    <w:basedOn w:val="DefaultParagraphFont"/>
    <w:link w:val="ListParagraph"/>
    <w:uiPriority w:val="34"/>
    <w:rsid w:val="00BE46CC"/>
    <w:rPr>
      <w:sz w:val="22"/>
      <w:szCs w:val="22"/>
    </w:rPr>
  </w:style>
  <w:style w:type="paragraph" w:styleId="BalloonText">
    <w:name w:val="Balloon Text"/>
    <w:basedOn w:val="Normal"/>
    <w:link w:val="BalloonTextChar"/>
    <w:uiPriority w:val="99"/>
    <w:semiHidden/>
    <w:unhideWhenUsed/>
    <w:rsid w:val="008341C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41C0"/>
    <w:rPr>
      <w:rFonts w:ascii="Lucida Grande" w:hAnsi="Lucida Grande" w:cs="Lucida Grande"/>
      <w:sz w:val="18"/>
      <w:szCs w:val="18"/>
    </w:rPr>
  </w:style>
  <w:style w:type="character" w:customStyle="1" w:styleId="Heading2Char">
    <w:name w:val="Heading 2 Char"/>
    <w:basedOn w:val="DefaultParagraphFont"/>
    <w:link w:val="Heading2"/>
    <w:uiPriority w:val="9"/>
    <w:rsid w:val="0064261C"/>
    <w:rPr>
      <w:rFonts w:asciiTheme="majorHAnsi" w:eastAsiaTheme="majorEastAsia" w:hAnsiTheme="majorHAnsi" w:cstheme="majorBidi"/>
      <w:b/>
      <w:bCs/>
      <w:color w:val="4F81BD" w:themeColor="accent1"/>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32981">
      <w:bodyDiv w:val="1"/>
      <w:marLeft w:val="0"/>
      <w:marRight w:val="0"/>
      <w:marTop w:val="0"/>
      <w:marBottom w:val="0"/>
      <w:divBdr>
        <w:top w:val="none" w:sz="0" w:space="0" w:color="auto"/>
        <w:left w:val="none" w:sz="0" w:space="0" w:color="auto"/>
        <w:bottom w:val="none" w:sz="0" w:space="0" w:color="auto"/>
        <w:right w:val="none" w:sz="0" w:space="0" w:color="auto"/>
      </w:divBdr>
      <w:divsChild>
        <w:div w:id="735669673">
          <w:marLeft w:val="547"/>
          <w:marRight w:val="0"/>
          <w:marTop w:val="0"/>
          <w:marBottom w:val="0"/>
          <w:divBdr>
            <w:top w:val="none" w:sz="0" w:space="0" w:color="auto"/>
            <w:left w:val="none" w:sz="0" w:space="0" w:color="auto"/>
            <w:bottom w:val="none" w:sz="0" w:space="0" w:color="auto"/>
            <w:right w:val="none" w:sz="0" w:space="0" w:color="auto"/>
          </w:divBdr>
        </w:div>
      </w:divsChild>
    </w:div>
    <w:div w:id="1503669055">
      <w:bodyDiv w:val="1"/>
      <w:marLeft w:val="0"/>
      <w:marRight w:val="0"/>
      <w:marTop w:val="0"/>
      <w:marBottom w:val="0"/>
      <w:divBdr>
        <w:top w:val="none" w:sz="0" w:space="0" w:color="auto"/>
        <w:left w:val="none" w:sz="0" w:space="0" w:color="auto"/>
        <w:bottom w:val="none" w:sz="0" w:space="0" w:color="auto"/>
        <w:right w:val="none" w:sz="0" w:space="0" w:color="auto"/>
      </w:divBdr>
      <w:divsChild>
        <w:div w:id="177156362">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A9ECE3-CE9A-D148-90E9-4B1A3C0AE05A}" type="doc">
      <dgm:prSet loTypeId="urn:microsoft.com/office/officeart/2008/layout/HorizontalMultiLevelHierarchy" loCatId="" qsTypeId="urn:microsoft.com/office/officeart/2005/8/quickstyle/simple2" qsCatId="simple" csTypeId="urn:microsoft.com/office/officeart/2005/8/colors/accent1_4" csCatId="accent1" phldr="1"/>
      <dgm:spPr/>
      <dgm:t>
        <a:bodyPr/>
        <a:lstStyle/>
        <a:p>
          <a:endParaRPr lang="en-US"/>
        </a:p>
      </dgm:t>
    </dgm:pt>
    <dgm:pt modelId="{991E4598-C328-3149-BBC8-F718E6D8B02A}">
      <dgm:prSet phldrT="[Text]" custT="1"/>
      <dgm:spPr/>
      <dgm:t>
        <a:bodyPr/>
        <a:lstStyle/>
        <a:p>
          <a:r>
            <a:rPr lang="en-US" sz="1000">
              <a:latin typeface="Arial"/>
              <a:cs typeface="Arial"/>
            </a:rPr>
            <a:t>Standards </a:t>
          </a:r>
          <a:r>
            <a:rPr lang="en-US" sz="1000" u="none">
              <a:solidFill>
                <a:schemeClr val="lt1"/>
              </a:solidFill>
              <a:latin typeface="Arial"/>
              <a:cs typeface="Arial"/>
            </a:rPr>
            <a:t>development</a:t>
          </a:r>
          <a:r>
            <a:rPr lang="en-US" sz="1000">
              <a:latin typeface="Arial"/>
              <a:cs typeface="Arial"/>
            </a:rPr>
            <a:t> to enable efficient data exchange</a:t>
          </a:r>
        </a:p>
      </dgm:t>
    </dgm:pt>
    <dgm:pt modelId="{5EF5ED88-4AF6-094F-BEB8-0F0DA9976D6D}" type="parTrans" cxnId="{FA29046F-6F67-4844-8378-2B176BAF64CE}">
      <dgm:prSet/>
      <dgm:spPr/>
      <dgm:t>
        <a:bodyPr/>
        <a:lstStyle/>
        <a:p>
          <a:endParaRPr lang="en-US"/>
        </a:p>
      </dgm:t>
    </dgm:pt>
    <dgm:pt modelId="{0E6AFDBD-9CD4-BA4C-8B88-8A5F4377B4DA}" type="sibTrans" cxnId="{FA29046F-6F67-4844-8378-2B176BAF64CE}">
      <dgm:prSet/>
      <dgm:spPr/>
      <dgm:t>
        <a:bodyPr/>
        <a:lstStyle/>
        <a:p>
          <a:endParaRPr lang="en-US"/>
        </a:p>
      </dgm:t>
    </dgm:pt>
    <dgm:pt modelId="{23937A47-BEE6-2649-AA27-3471ACA19FB7}">
      <dgm:prSet phldrT="[Text]" custT="1"/>
      <dgm:spPr/>
      <dgm:t>
        <a:bodyPr/>
        <a:lstStyle/>
        <a:p>
          <a:r>
            <a:rPr lang="en-US" sz="1000">
              <a:latin typeface="Arial"/>
              <a:cs typeface="Arial"/>
            </a:rPr>
            <a:t>Monitoring all publication activity to ensure compliance with funder mandates</a:t>
          </a:r>
        </a:p>
      </dgm:t>
    </dgm:pt>
    <dgm:pt modelId="{F220E4C4-8794-2548-B0EC-0EF127DFAE01}" type="parTrans" cxnId="{67A55829-539A-2F48-AF29-1A58A01BF2B1}">
      <dgm:prSet/>
      <dgm:spPr/>
      <dgm:t>
        <a:bodyPr/>
        <a:lstStyle/>
        <a:p>
          <a:endParaRPr lang="en-US"/>
        </a:p>
      </dgm:t>
    </dgm:pt>
    <dgm:pt modelId="{8490A4F6-EF68-B243-81DA-2A4D26148AD5}" type="sibTrans" cxnId="{67A55829-539A-2F48-AF29-1A58A01BF2B1}">
      <dgm:prSet/>
      <dgm:spPr/>
      <dgm:t>
        <a:bodyPr/>
        <a:lstStyle/>
        <a:p>
          <a:endParaRPr lang="en-US"/>
        </a:p>
      </dgm:t>
    </dgm:pt>
    <dgm:pt modelId="{CEF46A48-9B84-0E44-B5CC-EC6DB75DA09E}">
      <dgm:prSet phldrT="[Text]" custT="1"/>
      <dgm:spPr/>
      <dgm:t>
        <a:bodyPr/>
        <a:lstStyle/>
        <a:p>
          <a:r>
            <a:rPr lang="en-US" sz="1000">
              <a:latin typeface="Arial"/>
              <a:cs typeface="Arial"/>
            </a:rPr>
            <a:t>Moni</a:t>
          </a:r>
          <a:r>
            <a:rPr lang="en-US" sz="1200">
              <a:latin typeface="Arial"/>
              <a:cs typeface="Arial"/>
            </a:rPr>
            <a:t>i</a:t>
          </a:r>
          <a:r>
            <a:rPr lang="en-US" sz="1000">
              <a:latin typeface="Arial"/>
              <a:cs typeface="Arial"/>
            </a:rPr>
            <a:t>toring publication activity to understand what has been published</a:t>
          </a:r>
        </a:p>
      </dgm:t>
    </dgm:pt>
    <dgm:pt modelId="{3B79B298-8EF7-164C-BE71-A770ECCED50F}" type="parTrans" cxnId="{9D8C7A48-866F-9946-B6E4-FF8605C240AF}">
      <dgm:prSet/>
      <dgm:spPr/>
      <dgm:t>
        <a:bodyPr/>
        <a:lstStyle/>
        <a:p>
          <a:endParaRPr lang="en-US"/>
        </a:p>
      </dgm:t>
    </dgm:pt>
    <dgm:pt modelId="{0AC8E92C-961A-3F4D-A1BC-239907FDC98B}" type="sibTrans" cxnId="{9D8C7A48-866F-9946-B6E4-FF8605C240AF}">
      <dgm:prSet/>
      <dgm:spPr/>
      <dgm:t>
        <a:bodyPr/>
        <a:lstStyle/>
        <a:p>
          <a:endParaRPr lang="en-US"/>
        </a:p>
      </dgm:t>
    </dgm:pt>
    <dgm:pt modelId="{4F0D5871-C7A3-4946-8BE8-A6E95A266CA8}">
      <dgm:prSet phldrT="[Text]" custT="1"/>
      <dgm:spPr/>
      <dgm:t>
        <a:bodyPr/>
        <a:lstStyle/>
        <a:p>
          <a:r>
            <a:rPr lang="en-US" sz="1000">
              <a:latin typeface="Arial"/>
              <a:cs typeface="Arial"/>
            </a:rPr>
            <a:t>Monitoring spend</a:t>
          </a:r>
        </a:p>
      </dgm:t>
    </dgm:pt>
    <dgm:pt modelId="{126C9B34-F033-244E-A7DB-84D390C95D96}" type="parTrans" cxnId="{6B713C4F-2E8C-9E47-AFF6-E3F409B97EB3}">
      <dgm:prSet/>
      <dgm:spPr/>
      <dgm:t>
        <a:bodyPr/>
        <a:lstStyle/>
        <a:p>
          <a:endParaRPr lang="en-US"/>
        </a:p>
      </dgm:t>
    </dgm:pt>
    <dgm:pt modelId="{822D0E62-6A62-2D4F-90B8-A76236FEC355}" type="sibTrans" cxnId="{6B713C4F-2E8C-9E47-AFF6-E3F409B97EB3}">
      <dgm:prSet/>
      <dgm:spPr/>
      <dgm:t>
        <a:bodyPr/>
        <a:lstStyle/>
        <a:p>
          <a:endParaRPr lang="en-US"/>
        </a:p>
      </dgm:t>
    </dgm:pt>
    <dgm:pt modelId="{CFEC1818-1377-534D-8610-E6F1E827B00C}" type="pres">
      <dgm:prSet presAssocID="{14A9ECE3-CE9A-D148-90E9-4B1A3C0AE05A}" presName="Name0" presStyleCnt="0">
        <dgm:presLayoutVars>
          <dgm:chPref val="1"/>
          <dgm:dir val="rev"/>
          <dgm:animOne val="branch"/>
          <dgm:animLvl val="lvl"/>
          <dgm:resizeHandles val="exact"/>
        </dgm:presLayoutVars>
      </dgm:prSet>
      <dgm:spPr/>
      <dgm:t>
        <a:bodyPr/>
        <a:lstStyle/>
        <a:p>
          <a:endParaRPr lang="en-US"/>
        </a:p>
      </dgm:t>
    </dgm:pt>
    <dgm:pt modelId="{798DA31A-C87C-734D-A172-D27AC4F6831B}" type="pres">
      <dgm:prSet presAssocID="{991E4598-C328-3149-BBC8-F718E6D8B02A}" presName="root1" presStyleCnt="0"/>
      <dgm:spPr/>
    </dgm:pt>
    <dgm:pt modelId="{74E6CA26-7856-F941-813B-D1FF6E16D4BE}" type="pres">
      <dgm:prSet presAssocID="{991E4598-C328-3149-BBC8-F718E6D8B02A}" presName="LevelOneTextNode" presStyleLbl="node0" presStyleIdx="0" presStyleCnt="1" custScaleX="204982">
        <dgm:presLayoutVars>
          <dgm:chPref val="3"/>
        </dgm:presLayoutVars>
      </dgm:prSet>
      <dgm:spPr/>
      <dgm:t>
        <a:bodyPr/>
        <a:lstStyle/>
        <a:p>
          <a:endParaRPr lang="en-US"/>
        </a:p>
      </dgm:t>
    </dgm:pt>
    <dgm:pt modelId="{B941F4F3-F427-F740-9FC8-C7E92BBA8E53}" type="pres">
      <dgm:prSet presAssocID="{991E4598-C328-3149-BBC8-F718E6D8B02A}" presName="level2hierChild" presStyleCnt="0"/>
      <dgm:spPr/>
    </dgm:pt>
    <dgm:pt modelId="{74A7D76C-9A17-514F-A55C-25CF92E62D23}" type="pres">
      <dgm:prSet presAssocID="{F220E4C4-8794-2548-B0EC-0EF127DFAE01}" presName="conn2-1" presStyleLbl="parChTrans1D2" presStyleIdx="0" presStyleCnt="3"/>
      <dgm:spPr/>
      <dgm:t>
        <a:bodyPr/>
        <a:lstStyle/>
        <a:p>
          <a:endParaRPr lang="en-US"/>
        </a:p>
      </dgm:t>
    </dgm:pt>
    <dgm:pt modelId="{CEA6FB7E-2702-5841-8262-D6FFC2615086}" type="pres">
      <dgm:prSet presAssocID="{F220E4C4-8794-2548-B0EC-0EF127DFAE01}" presName="connTx" presStyleLbl="parChTrans1D2" presStyleIdx="0" presStyleCnt="3"/>
      <dgm:spPr/>
      <dgm:t>
        <a:bodyPr/>
        <a:lstStyle/>
        <a:p>
          <a:endParaRPr lang="en-US"/>
        </a:p>
      </dgm:t>
    </dgm:pt>
    <dgm:pt modelId="{C7884886-777F-4644-BE9A-3F161C3985CD}" type="pres">
      <dgm:prSet presAssocID="{23937A47-BEE6-2649-AA27-3471ACA19FB7}" presName="root2" presStyleCnt="0"/>
      <dgm:spPr/>
    </dgm:pt>
    <dgm:pt modelId="{02ED26E7-1D97-794D-9C9F-B91D1B89DDCC}" type="pres">
      <dgm:prSet presAssocID="{23937A47-BEE6-2649-AA27-3471ACA19FB7}" presName="LevelTwoTextNode" presStyleLbl="node2" presStyleIdx="0" presStyleCnt="3" custScaleX="116287">
        <dgm:presLayoutVars>
          <dgm:chPref val="3"/>
        </dgm:presLayoutVars>
      </dgm:prSet>
      <dgm:spPr/>
      <dgm:t>
        <a:bodyPr/>
        <a:lstStyle/>
        <a:p>
          <a:endParaRPr lang="en-US"/>
        </a:p>
      </dgm:t>
    </dgm:pt>
    <dgm:pt modelId="{5DEC4F74-3293-4049-BEC4-643E61347A27}" type="pres">
      <dgm:prSet presAssocID="{23937A47-BEE6-2649-AA27-3471ACA19FB7}" presName="level3hierChild" presStyleCnt="0"/>
      <dgm:spPr/>
    </dgm:pt>
    <dgm:pt modelId="{6E88B579-1DCF-4D4E-B499-7C7EDABB2A6A}" type="pres">
      <dgm:prSet presAssocID="{3B79B298-8EF7-164C-BE71-A770ECCED50F}" presName="conn2-1" presStyleLbl="parChTrans1D2" presStyleIdx="1" presStyleCnt="3"/>
      <dgm:spPr/>
      <dgm:t>
        <a:bodyPr/>
        <a:lstStyle/>
        <a:p>
          <a:endParaRPr lang="en-US"/>
        </a:p>
      </dgm:t>
    </dgm:pt>
    <dgm:pt modelId="{CE559035-A825-3943-B82A-B6D7596AA3F3}" type="pres">
      <dgm:prSet presAssocID="{3B79B298-8EF7-164C-BE71-A770ECCED50F}" presName="connTx" presStyleLbl="parChTrans1D2" presStyleIdx="1" presStyleCnt="3"/>
      <dgm:spPr/>
      <dgm:t>
        <a:bodyPr/>
        <a:lstStyle/>
        <a:p>
          <a:endParaRPr lang="en-US"/>
        </a:p>
      </dgm:t>
    </dgm:pt>
    <dgm:pt modelId="{D6ECF004-0661-704B-AD80-E4B0C955A114}" type="pres">
      <dgm:prSet presAssocID="{CEF46A48-9B84-0E44-B5CC-EC6DB75DA09E}" presName="root2" presStyleCnt="0"/>
      <dgm:spPr/>
    </dgm:pt>
    <dgm:pt modelId="{32A20E46-1B7A-B249-95DC-7C8080F9F9C6}" type="pres">
      <dgm:prSet presAssocID="{CEF46A48-9B84-0E44-B5CC-EC6DB75DA09E}" presName="LevelTwoTextNode" presStyleLbl="node2" presStyleIdx="1" presStyleCnt="3" custScaleX="116287">
        <dgm:presLayoutVars>
          <dgm:chPref val="3"/>
        </dgm:presLayoutVars>
      </dgm:prSet>
      <dgm:spPr/>
      <dgm:t>
        <a:bodyPr/>
        <a:lstStyle/>
        <a:p>
          <a:endParaRPr lang="en-US"/>
        </a:p>
      </dgm:t>
    </dgm:pt>
    <dgm:pt modelId="{8450B1FA-E836-EE42-AF87-B6748D1D35FB}" type="pres">
      <dgm:prSet presAssocID="{CEF46A48-9B84-0E44-B5CC-EC6DB75DA09E}" presName="level3hierChild" presStyleCnt="0"/>
      <dgm:spPr/>
    </dgm:pt>
    <dgm:pt modelId="{956B8E05-DA4D-B64A-A8E3-BB694544E99B}" type="pres">
      <dgm:prSet presAssocID="{126C9B34-F033-244E-A7DB-84D390C95D96}" presName="conn2-1" presStyleLbl="parChTrans1D2" presStyleIdx="2" presStyleCnt="3"/>
      <dgm:spPr/>
      <dgm:t>
        <a:bodyPr/>
        <a:lstStyle/>
        <a:p>
          <a:endParaRPr lang="en-US"/>
        </a:p>
      </dgm:t>
    </dgm:pt>
    <dgm:pt modelId="{2B8BC778-329D-394F-B85D-11DD0A635B1E}" type="pres">
      <dgm:prSet presAssocID="{126C9B34-F033-244E-A7DB-84D390C95D96}" presName="connTx" presStyleLbl="parChTrans1D2" presStyleIdx="2" presStyleCnt="3"/>
      <dgm:spPr/>
      <dgm:t>
        <a:bodyPr/>
        <a:lstStyle/>
        <a:p>
          <a:endParaRPr lang="en-US"/>
        </a:p>
      </dgm:t>
    </dgm:pt>
    <dgm:pt modelId="{D68E33F2-F2EF-6D4D-8EF5-5A69656226F3}" type="pres">
      <dgm:prSet presAssocID="{4F0D5871-C7A3-4946-8BE8-A6E95A266CA8}" presName="root2" presStyleCnt="0"/>
      <dgm:spPr/>
    </dgm:pt>
    <dgm:pt modelId="{DCDD3B17-1EF4-1248-B589-19ED50FEE9BE}" type="pres">
      <dgm:prSet presAssocID="{4F0D5871-C7A3-4946-8BE8-A6E95A266CA8}" presName="LevelTwoTextNode" presStyleLbl="node2" presStyleIdx="2" presStyleCnt="3" custScaleX="116287">
        <dgm:presLayoutVars>
          <dgm:chPref val="3"/>
        </dgm:presLayoutVars>
      </dgm:prSet>
      <dgm:spPr/>
      <dgm:t>
        <a:bodyPr/>
        <a:lstStyle/>
        <a:p>
          <a:endParaRPr lang="en-US"/>
        </a:p>
      </dgm:t>
    </dgm:pt>
    <dgm:pt modelId="{F1951B5F-26BA-0945-AAE6-1B4ACA717147}" type="pres">
      <dgm:prSet presAssocID="{4F0D5871-C7A3-4946-8BE8-A6E95A266CA8}" presName="level3hierChild" presStyleCnt="0"/>
      <dgm:spPr/>
    </dgm:pt>
  </dgm:ptLst>
  <dgm:cxnLst>
    <dgm:cxn modelId="{67A55829-539A-2F48-AF29-1A58A01BF2B1}" srcId="{991E4598-C328-3149-BBC8-F718E6D8B02A}" destId="{23937A47-BEE6-2649-AA27-3471ACA19FB7}" srcOrd="0" destOrd="0" parTransId="{F220E4C4-8794-2548-B0EC-0EF127DFAE01}" sibTransId="{8490A4F6-EF68-B243-81DA-2A4D26148AD5}"/>
    <dgm:cxn modelId="{8FD6E53E-B8B5-7645-BCD8-A500F268BD92}" type="presOf" srcId="{F220E4C4-8794-2548-B0EC-0EF127DFAE01}" destId="{74A7D76C-9A17-514F-A55C-25CF92E62D23}" srcOrd="0" destOrd="0" presId="urn:microsoft.com/office/officeart/2008/layout/HorizontalMultiLevelHierarchy"/>
    <dgm:cxn modelId="{268B604B-F393-C445-A8F4-3D98709D38E6}" type="presOf" srcId="{126C9B34-F033-244E-A7DB-84D390C95D96}" destId="{956B8E05-DA4D-B64A-A8E3-BB694544E99B}" srcOrd="0" destOrd="0" presId="urn:microsoft.com/office/officeart/2008/layout/HorizontalMultiLevelHierarchy"/>
    <dgm:cxn modelId="{DC33912E-B95E-CE4C-B35D-DE3FA6C437EA}" type="presOf" srcId="{14A9ECE3-CE9A-D148-90E9-4B1A3C0AE05A}" destId="{CFEC1818-1377-534D-8610-E6F1E827B00C}" srcOrd="0" destOrd="0" presId="urn:microsoft.com/office/officeart/2008/layout/HorizontalMultiLevelHierarchy"/>
    <dgm:cxn modelId="{FCFB8500-93F3-5B47-A9F7-EF9BF8B7637E}" type="presOf" srcId="{F220E4C4-8794-2548-B0EC-0EF127DFAE01}" destId="{CEA6FB7E-2702-5841-8262-D6FFC2615086}" srcOrd="1" destOrd="0" presId="urn:microsoft.com/office/officeart/2008/layout/HorizontalMultiLevelHierarchy"/>
    <dgm:cxn modelId="{8BDBF438-8E44-2442-A6FD-9DA05A470FEC}" type="presOf" srcId="{991E4598-C328-3149-BBC8-F718E6D8B02A}" destId="{74E6CA26-7856-F941-813B-D1FF6E16D4BE}" srcOrd="0" destOrd="0" presId="urn:microsoft.com/office/officeart/2008/layout/HorizontalMultiLevelHierarchy"/>
    <dgm:cxn modelId="{B3AB944C-98EE-104D-9758-79BD610A3C6A}" type="presOf" srcId="{126C9B34-F033-244E-A7DB-84D390C95D96}" destId="{2B8BC778-329D-394F-B85D-11DD0A635B1E}" srcOrd="1" destOrd="0" presId="urn:microsoft.com/office/officeart/2008/layout/HorizontalMultiLevelHierarchy"/>
    <dgm:cxn modelId="{3B06CEC3-EC48-6C4A-A3B6-10F772196C9E}" type="presOf" srcId="{CEF46A48-9B84-0E44-B5CC-EC6DB75DA09E}" destId="{32A20E46-1B7A-B249-95DC-7C8080F9F9C6}" srcOrd="0" destOrd="0" presId="urn:microsoft.com/office/officeart/2008/layout/HorizontalMultiLevelHierarchy"/>
    <dgm:cxn modelId="{6B713C4F-2E8C-9E47-AFF6-E3F409B97EB3}" srcId="{991E4598-C328-3149-BBC8-F718E6D8B02A}" destId="{4F0D5871-C7A3-4946-8BE8-A6E95A266CA8}" srcOrd="2" destOrd="0" parTransId="{126C9B34-F033-244E-A7DB-84D390C95D96}" sibTransId="{822D0E62-6A62-2D4F-90B8-A76236FEC355}"/>
    <dgm:cxn modelId="{776729B1-74FB-B549-AB91-DA614CAE6315}" type="presOf" srcId="{4F0D5871-C7A3-4946-8BE8-A6E95A266CA8}" destId="{DCDD3B17-1EF4-1248-B589-19ED50FEE9BE}" srcOrd="0" destOrd="0" presId="urn:microsoft.com/office/officeart/2008/layout/HorizontalMultiLevelHierarchy"/>
    <dgm:cxn modelId="{1B9438C4-499A-4E4E-A26A-723A82063933}" type="presOf" srcId="{3B79B298-8EF7-164C-BE71-A770ECCED50F}" destId="{CE559035-A825-3943-B82A-B6D7596AA3F3}" srcOrd="1" destOrd="0" presId="urn:microsoft.com/office/officeart/2008/layout/HorizontalMultiLevelHierarchy"/>
    <dgm:cxn modelId="{FA29046F-6F67-4844-8378-2B176BAF64CE}" srcId="{14A9ECE3-CE9A-D148-90E9-4B1A3C0AE05A}" destId="{991E4598-C328-3149-BBC8-F718E6D8B02A}" srcOrd="0" destOrd="0" parTransId="{5EF5ED88-4AF6-094F-BEB8-0F0DA9976D6D}" sibTransId="{0E6AFDBD-9CD4-BA4C-8B88-8A5F4377B4DA}"/>
    <dgm:cxn modelId="{9D8C7A48-866F-9946-B6E4-FF8605C240AF}" srcId="{991E4598-C328-3149-BBC8-F718E6D8B02A}" destId="{CEF46A48-9B84-0E44-B5CC-EC6DB75DA09E}" srcOrd="1" destOrd="0" parTransId="{3B79B298-8EF7-164C-BE71-A770ECCED50F}" sibTransId="{0AC8E92C-961A-3F4D-A1BC-239907FDC98B}"/>
    <dgm:cxn modelId="{2827352F-EAD0-EE46-9965-3B1C8610DB2E}" type="presOf" srcId="{3B79B298-8EF7-164C-BE71-A770ECCED50F}" destId="{6E88B579-1DCF-4D4E-B499-7C7EDABB2A6A}" srcOrd="0" destOrd="0" presId="urn:microsoft.com/office/officeart/2008/layout/HorizontalMultiLevelHierarchy"/>
    <dgm:cxn modelId="{343E2F2D-F4E9-FA4B-A770-8B3A6784CEB1}" type="presOf" srcId="{23937A47-BEE6-2649-AA27-3471ACA19FB7}" destId="{02ED26E7-1D97-794D-9C9F-B91D1B89DDCC}" srcOrd="0" destOrd="0" presId="urn:microsoft.com/office/officeart/2008/layout/HorizontalMultiLevelHierarchy"/>
    <dgm:cxn modelId="{C5FC2279-9A6F-1048-B928-6B4C0E32D920}" type="presParOf" srcId="{CFEC1818-1377-534D-8610-E6F1E827B00C}" destId="{798DA31A-C87C-734D-A172-D27AC4F6831B}" srcOrd="0" destOrd="0" presId="urn:microsoft.com/office/officeart/2008/layout/HorizontalMultiLevelHierarchy"/>
    <dgm:cxn modelId="{C18477AE-A2EF-9B43-A311-1E8E525A2F0D}" type="presParOf" srcId="{798DA31A-C87C-734D-A172-D27AC4F6831B}" destId="{74E6CA26-7856-F941-813B-D1FF6E16D4BE}" srcOrd="0" destOrd="0" presId="urn:microsoft.com/office/officeart/2008/layout/HorizontalMultiLevelHierarchy"/>
    <dgm:cxn modelId="{35EB889A-AFFC-DE4A-970F-D49B62C01BBD}" type="presParOf" srcId="{798DA31A-C87C-734D-A172-D27AC4F6831B}" destId="{B941F4F3-F427-F740-9FC8-C7E92BBA8E53}" srcOrd="1" destOrd="0" presId="urn:microsoft.com/office/officeart/2008/layout/HorizontalMultiLevelHierarchy"/>
    <dgm:cxn modelId="{4B7CC880-E507-4F49-AFB0-01B44671FC9E}" type="presParOf" srcId="{B941F4F3-F427-F740-9FC8-C7E92BBA8E53}" destId="{74A7D76C-9A17-514F-A55C-25CF92E62D23}" srcOrd="0" destOrd="0" presId="urn:microsoft.com/office/officeart/2008/layout/HorizontalMultiLevelHierarchy"/>
    <dgm:cxn modelId="{D1D59737-4865-C14E-A5D6-89A94AFF4D0E}" type="presParOf" srcId="{74A7D76C-9A17-514F-A55C-25CF92E62D23}" destId="{CEA6FB7E-2702-5841-8262-D6FFC2615086}" srcOrd="0" destOrd="0" presId="urn:microsoft.com/office/officeart/2008/layout/HorizontalMultiLevelHierarchy"/>
    <dgm:cxn modelId="{CEB765E4-4484-694B-BA0B-23D4A26491A5}" type="presParOf" srcId="{B941F4F3-F427-F740-9FC8-C7E92BBA8E53}" destId="{C7884886-777F-4644-BE9A-3F161C3985CD}" srcOrd="1" destOrd="0" presId="urn:microsoft.com/office/officeart/2008/layout/HorizontalMultiLevelHierarchy"/>
    <dgm:cxn modelId="{139108F4-14D7-A443-9D76-FD4BDFD111D2}" type="presParOf" srcId="{C7884886-777F-4644-BE9A-3F161C3985CD}" destId="{02ED26E7-1D97-794D-9C9F-B91D1B89DDCC}" srcOrd="0" destOrd="0" presId="urn:microsoft.com/office/officeart/2008/layout/HorizontalMultiLevelHierarchy"/>
    <dgm:cxn modelId="{2FE63665-1DB7-C549-8F7E-02A1161EC7E4}" type="presParOf" srcId="{C7884886-777F-4644-BE9A-3F161C3985CD}" destId="{5DEC4F74-3293-4049-BEC4-643E61347A27}" srcOrd="1" destOrd="0" presId="urn:microsoft.com/office/officeart/2008/layout/HorizontalMultiLevelHierarchy"/>
    <dgm:cxn modelId="{04ED72F6-EA15-7B4E-9923-90ACA6F5D4FD}" type="presParOf" srcId="{B941F4F3-F427-F740-9FC8-C7E92BBA8E53}" destId="{6E88B579-1DCF-4D4E-B499-7C7EDABB2A6A}" srcOrd="2" destOrd="0" presId="urn:microsoft.com/office/officeart/2008/layout/HorizontalMultiLevelHierarchy"/>
    <dgm:cxn modelId="{FCACF00F-4E33-B847-8791-C5C282E653F2}" type="presParOf" srcId="{6E88B579-1DCF-4D4E-B499-7C7EDABB2A6A}" destId="{CE559035-A825-3943-B82A-B6D7596AA3F3}" srcOrd="0" destOrd="0" presId="urn:microsoft.com/office/officeart/2008/layout/HorizontalMultiLevelHierarchy"/>
    <dgm:cxn modelId="{4D3A2BBE-2FD9-7D45-9761-F72ED8033D19}" type="presParOf" srcId="{B941F4F3-F427-F740-9FC8-C7E92BBA8E53}" destId="{D6ECF004-0661-704B-AD80-E4B0C955A114}" srcOrd="3" destOrd="0" presId="urn:microsoft.com/office/officeart/2008/layout/HorizontalMultiLevelHierarchy"/>
    <dgm:cxn modelId="{3CD4482E-2F85-A647-B6F9-81FCD71B2E1C}" type="presParOf" srcId="{D6ECF004-0661-704B-AD80-E4B0C955A114}" destId="{32A20E46-1B7A-B249-95DC-7C8080F9F9C6}" srcOrd="0" destOrd="0" presId="urn:microsoft.com/office/officeart/2008/layout/HorizontalMultiLevelHierarchy"/>
    <dgm:cxn modelId="{BB239CF7-A2F9-A94E-BA5E-751FBD0E15DF}" type="presParOf" srcId="{D6ECF004-0661-704B-AD80-E4B0C955A114}" destId="{8450B1FA-E836-EE42-AF87-B6748D1D35FB}" srcOrd="1" destOrd="0" presId="urn:microsoft.com/office/officeart/2008/layout/HorizontalMultiLevelHierarchy"/>
    <dgm:cxn modelId="{737A685D-E217-504D-89A7-68309ECC73BC}" type="presParOf" srcId="{B941F4F3-F427-F740-9FC8-C7E92BBA8E53}" destId="{956B8E05-DA4D-B64A-A8E3-BB694544E99B}" srcOrd="4" destOrd="0" presId="urn:microsoft.com/office/officeart/2008/layout/HorizontalMultiLevelHierarchy"/>
    <dgm:cxn modelId="{D2B3BFB9-0978-DE41-8EE1-C83BEE3238B7}" type="presParOf" srcId="{956B8E05-DA4D-B64A-A8E3-BB694544E99B}" destId="{2B8BC778-329D-394F-B85D-11DD0A635B1E}" srcOrd="0" destOrd="0" presId="urn:microsoft.com/office/officeart/2008/layout/HorizontalMultiLevelHierarchy"/>
    <dgm:cxn modelId="{61DA3D7E-67CF-A843-91D3-801B8E10B6D3}" type="presParOf" srcId="{B941F4F3-F427-F740-9FC8-C7E92BBA8E53}" destId="{D68E33F2-F2EF-6D4D-8EF5-5A69656226F3}" srcOrd="5" destOrd="0" presId="urn:microsoft.com/office/officeart/2008/layout/HorizontalMultiLevelHierarchy"/>
    <dgm:cxn modelId="{2C1B5645-5444-B74E-B2A3-6CA64B94552B}" type="presParOf" srcId="{D68E33F2-F2EF-6D4D-8EF5-5A69656226F3}" destId="{DCDD3B17-1EF4-1248-B589-19ED50FEE9BE}" srcOrd="0" destOrd="0" presId="urn:microsoft.com/office/officeart/2008/layout/HorizontalMultiLevelHierarchy"/>
    <dgm:cxn modelId="{8D1E70EC-B759-0B4E-AB38-3762B9500504}" type="presParOf" srcId="{D68E33F2-F2EF-6D4D-8EF5-5A69656226F3}" destId="{F1951B5F-26BA-0945-AAE6-1B4ACA717147}" srcOrd="1" destOrd="0" presId="urn:microsoft.com/office/officeart/2008/layout/HorizontalMultiLevelHierarchy"/>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6B8E05-DA4D-B64A-A8E3-BB694544E99B}">
      <dsp:nvSpPr>
        <dsp:cNvPr id="0" name=""/>
        <dsp:cNvSpPr/>
      </dsp:nvSpPr>
      <dsp:spPr>
        <a:xfrm>
          <a:off x="2971747" y="1597844"/>
          <a:ext cx="398310" cy="758975"/>
        </a:xfrm>
        <a:custGeom>
          <a:avLst/>
          <a:gdLst/>
          <a:ahLst/>
          <a:cxnLst/>
          <a:rect l="0" t="0" r="0" b="0"/>
          <a:pathLst>
            <a:path>
              <a:moveTo>
                <a:pt x="398310" y="0"/>
              </a:moveTo>
              <a:lnTo>
                <a:pt x="199155" y="0"/>
              </a:lnTo>
              <a:lnTo>
                <a:pt x="199155" y="758975"/>
              </a:lnTo>
              <a:lnTo>
                <a:pt x="0" y="758975"/>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149474" y="1955903"/>
        <a:ext cx="42857" cy="42857"/>
      </dsp:txXfrm>
    </dsp:sp>
    <dsp:sp modelId="{6E88B579-1DCF-4D4E-B499-7C7EDABB2A6A}">
      <dsp:nvSpPr>
        <dsp:cNvPr id="0" name=""/>
        <dsp:cNvSpPr/>
      </dsp:nvSpPr>
      <dsp:spPr>
        <a:xfrm>
          <a:off x="2971747" y="1552124"/>
          <a:ext cx="398310" cy="91440"/>
        </a:xfrm>
        <a:custGeom>
          <a:avLst/>
          <a:gdLst/>
          <a:ahLst/>
          <a:cxnLst/>
          <a:rect l="0" t="0" r="0" b="0"/>
          <a:pathLst>
            <a:path>
              <a:moveTo>
                <a:pt x="398310" y="45720"/>
              </a:moveTo>
              <a:lnTo>
                <a:pt x="0" y="45720"/>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160945" y="1587886"/>
        <a:ext cx="19915" cy="19915"/>
      </dsp:txXfrm>
    </dsp:sp>
    <dsp:sp modelId="{74A7D76C-9A17-514F-A55C-25CF92E62D23}">
      <dsp:nvSpPr>
        <dsp:cNvPr id="0" name=""/>
        <dsp:cNvSpPr/>
      </dsp:nvSpPr>
      <dsp:spPr>
        <a:xfrm>
          <a:off x="2971747" y="838868"/>
          <a:ext cx="398310" cy="758975"/>
        </a:xfrm>
        <a:custGeom>
          <a:avLst/>
          <a:gdLst/>
          <a:ahLst/>
          <a:cxnLst/>
          <a:rect l="0" t="0" r="0" b="0"/>
          <a:pathLst>
            <a:path>
              <a:moveTo>
                <a:pt x="398310" y="758975"/>
              </a:moveTo>
              <a:lnTo>
                <a:pt x="199155" y="758975"/>
              </a:lnTo>
              <a:lnTo>
                <a:pt x="199155" y="0"/>
              </a:lnTo>
              <a:lnTo>
                <a:pt x="0" y="0"/>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149474" y="1196927"/>
        <a:ext cx="42857" cy="42857"/>
      </dsp:txXfrm>
    </dsp:sp>
    <dsp:sp modelId="{74E6CA26-7856-F941-813B-D1FF6E16D4BE}">
      <dsp:nvSpPr>
        <dsp:cNvPr id="0" name=""/>
        <dsp:cNvSpPr/>
      </dsp:nvSpPr>
      <dsp:spPr>
        <a:xfrm rot="5400000">
          <a:off x="2394519" y="975538"/>
          <a:ext cx="3195688" cy="1244611"/>
        </a:xfrm>
        <a:prstGeom prst="rect">
          <a:avLst/>
        </a:prstGeom>
        <a:solidFill>
          <a:schemeClr val="accent1">
            <a:shade val="6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a:cs typeface="Arial"/>
            </a:rPr>
            <a:t>Standards </a:t>
          </a:r>
          <a:r>
            <a:rPr lang="en-US" sz="1000" u="none" kern="1200">
              <a:solidFill>
                <a:schemeClr val="lt1"/>
              </a:solidFill>
              <a:latin typeface="Arial"/>
              <a:cs typeface="Arial"/>
            </a:rPr>
            <a:t>development</a:t>
          </a:r>
          <a:r>
            <a:rPr lang="en-US" sz="1000" kern="1200">
              <a:latin typeface="Arial"/>
              <a:cs typeface="Arial"/>
            </a:rPr>
            <a:t> to enable efficient data exchange</a:t>
          </a:r>
        </a:p>
      </dsp:txBody>
      <dsp:txXfrm>
        <a:off x="2394519" y="975538"/>
        <a:ext cx="3195688" cy="1244611"/>
      </dsp:txXfrm>
    </dsp:sp>
    <dsp:sp modelId="{02ED26E7-1D97-794D-9C9F-B91D1B89DDCC}">
      <dsp:nvSpPr>
        <dsp:cNvPr id="0" name=""/>
        <dsp:cNvSpPr/>
      </dsp:nvSpPr>
      <dsp:spPr>
        <a:xfrm>
          <a:off x="655830" y="535277"/>
          <a:ext cx="2315916" cy="607180"/>
        </a:xfrm>
        <a:prstGeom prst="rect">
          <a:avLst/>
        </a:prstGeom>
        <a:solidFill>
          <a:schemeClr val="accent1">
            <a:shade val="8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a:cs typeface="Arial"/>
            </a:rPr>
            <a:t>Monitoring all publication activity to ensure compliance with funder mandates</a:t>
          </a:r>
        </a:p>
      </dsp:txBody>
      <dsp:txXfrm>
        <a:off x="655830" y="535277"/>
        <a:ext cx="2315916" cy="607180"/>
      </dsp:txXfrm>
    </dsp:sp>
    <dsp:sp modelId="{32A20E46-1B7A-B249-95DC-7C8080F9F9C6}">
      <dsp:nvSpPr>
        <dsp:cNvPr id="0" name=""/>
        <dsp:cNvSpPr/>
      </dsp:nvSpPr>
      <dsp:spPr>
        <a:xfrm>
          <a:off x="655830" y="1294253"/>
          <a:ext cx="2315916" cy="607180"/>
        </a:xfrm>
        <a:prstGeom prst="rect">
          <a:avLst/>
        </a:prstGeom>
        <a:solidFill>
          <a:schemeClr val="accent1">
            <a:shade val="8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a:cs typeface="Arial"/>
            </a:rPr>
            <a:t>Moni</a:t>
          </a:r>
          <a:r>
            <a:rPr lang="en-US" sz="1200" kern="1200">
              <a:latin typeface="Arial"/>
              <a:cs typeface="Arial"/>
            </a:rPr>
            <a:t>i</a:t>
          </a:r>
          <a:r>
            <a:rPr lang="en-US" sz="1000" kern="1200">
              <a:latin typeface="Arial"/>
              <a:cs typeface="Arial"/>
            </a:rPr>
            <a:t>toring publication activity to understand what has been published</a:t>
          </a:r>
        </a:p>
      </dsp:txBody>
      <dsp:txXfrm>
        <a:off x="655830" y="1294253"/>
        <a:ext cx="2315916" cy="607180"/>
      </dsp:txXfrm>
    </dsp:sp>
    <dsp:sp modelId="{DCDD3B17-1EF4-1248-B589-19ED50FEE9BE}">
      <dsp:nvSpPr>
        <dsp:cNvPr id="0" name=""/>
        <dsp:cNvSpPr/>
      </dsp:nvSpPr>
      <dsp:spPr>
        <a:xfrm>
          <a:off x="655830" y="2053229"/>
          <a:ext cx="2315916" cy="607180"/>
        </a:xfrm>
        <a:prstGeom prst="rect">
          <a:avLst/>
        </a:prstGeom>
        <a:solidFill>
          <a:schemeClr val="accent1">
            <a:shade val="8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a:cs typeface="Arial"/>
            </a:rPr>
            <a:t>Monitoring spend</a:t>
          </a:r>
        </a:p>
      </dsp:txBody>
      <dsp:txXfrm>
        <a:off x="655830" y="2053229"/>
        <a:ext cx="2315916" cy="607180"/>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FDD07-046F-447F-82D1-6E5947382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Jisc Collections and Janet Limited</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Lambert</dc:creator>
  <cp:keywords/>
  <dc:description/>
  <cp:lastModifiedBy>Neil Jacobs</cp:lastModifiedBy>
  <cp:revision>2</cp:revision>
  <dcterms:created xsi:type="dcterms:W3CDTF">2014-04-15T21:52:00Z</dcterms:created>
  <dcterms:modified xsi:type="dcterms:W3CDTF">2014-04-15T21:52:00Z</dcterms:modified>
</cp:coreProperties>
</file>