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B5CFE" w14:textId="77777777" w:rsidR="00CD2A2C" w:rsidRDefault="00CD2A2C" w:rsidP="00A514CD">
      <w:pPr>
        <w:pStyle w:val="Heading1"/>
      </w:pPr>
      <w:r>
        <w:t>Annex 5 – OA Good Practice</w:t>
      </w:r>
      <w:bookmarkStart w:id="0" w:name="_GoBack"/>
      <w:bookmarkEnd w:id="0"/>
    </w:p>
    <w:p w14:paraId="73E9B6BF" w14:textId="7F4CB514" w:rsidR="00CD2A2C" w:rsidRDefault="00CD2A2C" w:rsidP="00CD2A2C">
      <w:pPr>
        <w:pStyle w:val="Heading2"/>
      </w:pPr>
      <w:r>
        <w:t>Introduction</w:t>
      </w:r>
    </w:p>
    <w:p w14:paraId="6814C169" w14:textId="04E1F7AB" w:rsidR="00CD2A2C" w:rsidRDefault="00CD2A2C" w:rsidP="00CD2A2C">
      <w:r>
        <w:t xml:space="preserve">This document outlines two of the three strands of this work, </w:t>
      </w:r>
      <w:r>
        <w:t>the OA Good Practice pathfinder projects</w:t>
      </w:r>
      <w:r>
        <w:t xml:space="preserve"> and the OA Implementation Community.  The third strand, evaluation, is currently in early planning.</w:t>
      </w:r>
    </w:p>
    <w:p w14:paraId="6BE71809" w14:textId="4BD5163A" w:rsidR="00CD2A2C" w:rsidRPr="00CD2A2C" w:rsidRDefault="00CD2A2C" w:rsidP="00CD2A2C">
      <w:pPr>
        <w:pStyle w:val="Heading2"/>
        <w:rPr>
          <w:u w:val="single"/>
        </w:rPr>
      </w:pPr>
      <w:r w:rsidRPr="00CD2A2C">
        <w:rPr>
          <w:u w:val="single"/>
        </w:rPr>
        <w:t>OA pathfinder projects</w:t>
      </w:r>
    </w:p>
    <w:p w14:paraId="6B221EB3" w14:textId="77777777" w:rsidR="00A5130D" w:rsidRDefault="00A5130D" w:rsidP="00A5130D">
      <w:pPr>
        <w:pStyle w:val="Heading3"/>
      </w:pPr>
      <w:r>
        <w:t>Introduction</w:t>
      </w:r>
    </w:p>
    <w:p w14:paraId="1EDE5028" w14:textId="1700A6A6" w:rsidR="00A5130D" w:rsidRDefault="00A5130D" w:rsidP="00A5130D">
      <w:r>
        <w:t xml:space="preserve">A suite of agile </w:t>
      </w:r>
      <w:r>
        <w:t>p</w:t>
      </w:r>
      <w:r>
        <w:t xml:space="preserve">athfinder projects based within HEIs are being commissioned to develop shareable models of ‘good practice’ with regard to the implementation of UK funders’ Open Access requirements . </w:t>
      </w:r>
    </w:p>
    <w:p w14:paraId="51B5D650" w14:textId="77777777" w:rsidR="00A5130D" w:rsidRDefault="00A5130D" w:rsidP="00A5130D">
      <w:r>
        <w:t xml:space="preserve">It is envisaged that each project will be comprised of one lead HEI and two ‘associates’ to ensure that, from the start, the lead HEI is oriented to sharing their experience. Where appropriate, publishers, intermediaries and systems vendors will also be welcome as unfunded partners of the projects in order to enhance the benefits to HEIs that these stakeholders can bring. </w:t>
      </w:r>
    </w:p>
    <w:p w14:paraId="47EB955A" w14:textId="77777777" w:rsidR="00A5130D" w:rsidRDefault="00A5130D" w:rsidP="00A5130D">
      <w:pPr>
        <w:pStyle w:val="Heading3"/>
      </w:pPr>
      <w:r>
        <w:t>Aim</w:t>
      </w:r>
    </w:p>
    <w:p w14:paraId="33CD72D1" w14:textId="77777777" w:rsidR="00A5130D" w:rsidRDefault="00A5130D" w:rsidP="00A5130D">
      <w:r>
        <w:t xml:space="preserve">By March 2016, the commissioned Pathfinder projects will have enabled their own and associated HEIs, working with others both within and beyond the sector, to develop improvements in IT tools, standards and services, the related workflows and organisational arrangements that support them to implement UK funders’ requirements with respect to OA.  </w:t>
      </w:r>
    </w:p>
    <w:p w14:paraId="6BBA7C96" w14:textId="77777777" w:rsidR="00A5130D" w:rsidRDefault="00A5130D" w:rsidP="00A5130D">
      <w:r>
        <w:t>This may include, but is not restricted to the following areas:</w:t>
      </w:r>
    </w:p>
    <w:p w14:paraId="6C4A7D53" w14:textId="6E584B2D" w:rsidR="00A5130D" w:rsidRDefault="00A5130D" w:rsidP="00A5130D">
      <w:pPr>
        <w:pStyle w:val="ListParagraph"/>
        <w:numPr>
          <w:ilvl w:val="0"/>
          <w:numId w:val="11"/>
        </w:numPr>
      </w:pPr>
      <w:r>
        <w:t xml:space="preserve">Compliance with funders’ and institutional mandates </w:t>
      </w:r>
    </w:p>
    <w:p w14:paraId="00B6DCA8" w14:textId="73A06115" w:rsidR="00A5130D" w:rsidRDefault="00A5130D" w:rsidP="00A5130D">
      <w:pPr>
        <w:pStyle w:val="ListParagraph"/>
        <w:numPr>
          <w:ilvl w:val="0"/>
          <w:numId w:val="11"/>
        </w:numPr>
      </w:pPr>
      <w:r>
        <w:t xml:space="preserve">Monitoring and reporting institutional publication activity </w:t>
      </w:r>
    </w:p>
    <w:p w14:paraId="023BC41E" w14:textId="433D37EA" w:rsidR="00A5130D" w:rsidRDefault="00A5130D" w:rsidP="00A5130D">
      <w:pPr>
        <w:pStyle w:val="ListParagraph"/>
        <w:numPr>
          <w:ilvl w:val="0"/>
          <w:numId w:val="11"/>
        </w:numPr>
      </w:pPr>
      <w:r>
        <w:t xml:space="preserve">Monitoring and management of publication funds and charges </w:t>
      </w:r>
    </w:p>
    <w:p w14:paraId="49DF7762" w14:textId="737D0642" w:rsidR="00A5130D" w:rsidRDefault="00A5130D" w:rsidP="00A5130D">
      <w:pPr>
        <w:pStyle w:val="ListParagraph"/>
        <w:numPr>
          <w:ilvl w:val="0"/>
          <w:numId w:val="11"/>
        </w:numPr>
      </w:pPr>
      <w:r>
        <w:t xml:space="preserve">Interoperability across the relevant IT repositories and services (and necessary IT tools and standards) </w:t>
      </w:r>
    </w:p>
    <w:p w14:paraId="1CF3D0B1" w14:textId="230A28AC" w:rsidR="00A5130D" w:rsidRDefault="00A5130D" w:rsidP="00A5130D">
      <w:pPr>
        <w:pStyle w:val="ListParagraph"/>
        <w:numPr>
          <w:ilvl w:val="0"/>
          <w:numId w:val="11"/>
        </w:numPr>
      </w:pPr>
      <w:r>
        <w:t>Awareness and clarity on UK funders’ OA policy and the ramifications for researchers and institutions</w:t>
      </w:r>
    </w:p>
    <w:p w14:paraId="5099D89D" w14:textId="77777777" w:rsidR="00A5130D" w:rsidRDefault="00A5130D" w:rsidP="00A5130D">
      <w:pPr>
        <w:pStyle w:val="Heading3"/>
      </w:pPr>
      <w:r>
        <w:t>Timescale</w:t>
      </w:r>
    </w:p>
    <w:p w14:paraId="3917CF5C" w14:textId="77777777" w:rsidR="00A5130D" w:rsidRDefault="00A5130D" w:rsidP="00A5130D">
      <w:r>
        <w:t>Projects shall be 2 years in length and will start March 2014 and deliver by March 2016</w:t>
      </w:r>
    </w:p>
    <w:p w14:paraId="617ACB78" w14:textId="77777777" w:rsidR="00A5130D" w:rsidRDefault="00A5130D" w:rsidP="00A5130D">
      <w:pPr>
        <w:pStyle w:val="Heading3"/>
      </w:pPr>
      <w:r>
        <w:t>Key stakeholders</w:t>
      </w:r>
    </w:p>
    <w:p w14:paraId="3EDCACA3" w14:textId="77777777" w:rsidR="00A5130D" w:rsidRDefault="00A5130D" w:rsidP="00A5130D">
      <w:r>
        <w:t>RLUK, ARMA and SCONUL will advise Jisc and help ensure the co-ordination of the projects.</w:t>
      </w:r>
    </w:p>
    <w:p w14:paraId="32D7AE3A" w14:textId="25926902" w:rsidR="00A5130D" w:rsidRDefault="00A5130D" w:rsidP="00A5130D">
      <w:r>
        <w:t>The OA Implementation Community</w:t>
      </w:r>
      <w:r>
        <w:t xml:space="preserve"> </w:t>
      </w:r>
      <w:r>
        <w:t xml:space="preserve">(see below) </w:t>
      </w:r>
      <w:r>
        <w:t>will engage HE managers from the wider sector to help inform their own implementation of UK funders’ policies.</w:t>
      </w:r>
    </w:p>
    <w:p w14:paraId="1743A5B7" w14:textId="77777777" w:rsidR="00A5130D" w:rsidRDefault="00A5130D" w:rsidP="00A5130D">
      <w:r>
        <w:t>A range of publishers, intermediaries and vendors will be consulted and kept informed of projects’ progress.</w:t>
      </w:r>
    </w:p>
    <w:p w14:paraId="19390B44" w14:textId="77777777" w:rsidR="00A5130D" w:rsidRDefault="00A5130D" w:rsidP="00A5130D">
      <w:pPr>
        <w:pStyle w:val="Heading3"/>
      </w:pPr>
      <w:r>
        <w:t>Substantive outputs</w:t>
      </w:r>
    </w:p>
    <w:p w14:paraId="3C71E281" w14:textId="77777777" w:rsidR="00A5130D" w:rsidRDefault="00A5130D" w:rsidP="00A5130D">
      <w:r>
        <w:t>Each project will be asked to produce a case study, with an early draft to be released publicly within a few months of project start, to be continually revised and updated, and/or new versions released throughout the project.</w:t>
      </w:r>
    </w:p>
    <w:p w14:paraId="780B4E8B" w14:textId="77777777" w:rsidR="00A5130D" w:rsidRDefault="00A5130D" w:rsidP="00A5130D">
      <w:pPr>
        <w:pStyle w:val="Heading3"/>
      </w:pPr>
      <w:r>
        <w:t>Measurable success</w:t>
      </w:r>
    </w:p>
    <w:p w14:paraId="64D128F9" w14:textId="77777777" w:rsidR="00A5130D" w:rsidRDefault="00A5130D" w:rsidP="00A5130D">
      <w:r>
        <w:t>The overall anticipated impact of the projects will be a reduction in the burden on HEIs in implementing UK funders’ OA requirements which might comprise of lower direct costs; staff time saved; better products offered by vendors; reduced risks of non-compliance etc.</w:t>
      </w:r>
    </w:p>
    <w:p w14:paraId="1B9204F6" w14:textId="471DC9AC" w:rsidR="00CD2A2C" w:rsidRDefault="00A5130D" w:rsidP="00A5130D">
      <w:r>
        <w:t xml:space="preserve">To support this, projects will provide both baseline and final estimates of the burden on HEIs of meeting funders’ OA requirements, evidencing any improvements.  </w:t>
      </w:r>
    </w:p>
    <w:p w14:paraId="67AC7FCA" w14:textId="77777777" w:rsidR="00A5130D" w:rsidRDefault="00A5130D" w:rsidP="00A5130D"/>
    <w:p w14:paraId="7354058F" w14:textId="0E8AE688" w:rsidR="00A514CD" w:rsidRPr="00CD2A2C" w:rsidRDefault="00A514CD" w:rsidP="00CD2A2C">
      <w:pPr>
        <w:pStyle w:val="Heading2"/>
        <w:rPr>
          <w:u w:val="single"/>
        </w:rPr>
      </w:pPr>
      <w:r w:rsidRPr="00CD2A2C">
        <w:rPr>
          <w:u w:val="single"/>
        </w:rPr>
        <w:t>OA Im</w:t>
      </w:r>
      <w:r w:rsidR="00CD2A2C" w:rsidRPr="00CD2A2C">
        <w:rPr>
          <w:u w:val="single"/>
        </w:rPr>
        <w:t>plementation Community</w:t>
      </w:r>
      <w:r w:rsidRPr="00CD2A2C">
        <w:rPr>
          <w:u w:val="single"/>
        </w:rPr>
        <w:t xml:space="preserve"> </w:t>
      </w:r>
    </w:p>
    <w:p w14:paraId="79662479" w14:textId="77777777" w:rsidR="00A514CD" w:rsidRPr="00A514CD" w:rsidRDefault="00A514CD" w:rsidP="00A514CD">
      <w:pPr>
        <w:pStyle w:val="Heading2"/>
      </w:pPr>
      <w:r w:rsidRPr="00A514CD">
        <w:t>Introduction</w:t>
      </w:r>
    </w:p>
    <w:p w14:paraId="5E923AF4" w14:textId="77777777" w:rsidR="00A514CD" w:rsidRPr="00A514CD" w:rsidRDefault="00A514CD" w:rsidP="00A514CD">
      <w:r w:rsidRPr="00A514CD">
        <w:t xml:space="preserve">The OA Implementation community </w:t>
      </w:r>
      <w:r>
        <w:t xml:space="preserve">(OAIC) </w:t>
      </w:r>
      <w:r w:rsidRPr="00A514CD">
        <w:t xml:space="preserve">will consist of a series of workshops/ events and online interactions – from webinars, to guest blogs- by which, HEI managers (e.g. librarians, research managers, repository managers) are able to share and  improve understanding and good practice in the implementation of UK funders’ OA requirements across different professions and institutions. </w:t>
      </w:r>
    </w:p>
    <w:p w14:paraId="2AEC8C5E" w14:textId="77777777" w:rsidR="00A514CD" w:rsidRPr="00A514CD" w:rsidRDefault="00A514CD" w:rsidP="00A514CD">
      <w:r w:rsidRPr="00A514CD">
        <w:t>This community will enable research and information managers to learn from the Pathf</w:t>
      </w:r>
      <w:r>
        <w:t xml:space="preserve">inder projects and each other, </w:t>
      </w:r>
      <w:r w:rsidRPr="00A514CD">
        <w:t>thereby mak</w:t>
      </w:r>
      <w:r>
        <w:t xml:space="preserve">ing </w:t>
      </w:r>
      <w:r w:rsidRPr="00A514CD">
        <w:t>the most of the knowledge and experience from across the wider community, and providing a forum by which discussion, debate and knowledge- exchange can be shared across the sector.</w:t>
      </w:r>
    </w:p>
    <w:p w14:paraId="4FD1B0F0" w14:textId="77777777" w:rsidR="00A514CD" w:rsidRDefault="00A514CD" w:rsidP="00A514CD">
      <w:pPr>
        <w:pStyle w:val="Heading2"/>
      </w:pPr>
      <w:r>
        <w:t>Approach</w:t>
      </w:r>
    </w:p>
    <w:p w14:paraId="3A7DC945" w14:textId="77777777" w:rsidR="000722AB" w:rsidRDefault="000722AB" w:rsidP="000722AB">
      <w:pPr>
        <w:pStyle w:val="Heading3"/>
      </w:pPr>
      <w:r>
        <w:t>Workshops</w:t>
      </w:r>
    </w:p>
    <w:p w14:paraId="069F2CFE" w14:textId="0B4EC02E" w:rsidR="00A514CD" w:rsidRDefault="00A514CD" w:rsidP="00A514CD">
      <w:r w:rsidRPr="00A514CD">
        <w:t xml:space="preserve">As per the </w:t>
      </w:r>
      <w:hyperlink r:id="rId8" w:history="1">
        <w:r w:rsidRPr="00A514CD">
          <w:rPr>
            <w:rStyle w:val="Hyperlink"/>
          </w:rPr>
          <w:t>Camel model</w:t>
        </w:r>
      </w:hyperlink>
      <w:r w:rsidRPr="00A514CD">
        <w:t xml:space="preserve"> </w:t>
      </w:r>
      <w:r>
        <w:t xml:space="preserve">of building an effective community of practice, </w:t>
      </w:r>
      <w:r w:rsidR="009C5695">
        <w:t>pathfinder p</w:t>
      </w:r>
      <w:r>
        <w:t xml:space="preserve">rojects shall be expected to deliver their own workshop/ </w:t>
      </w:r>
      <w:r>
        <w:lastRenderedPageBreak/>
        <w:t>event by which, HEI managers across different professions and institutions can to engage with and provide feedback to the projects’ ‘good practice’ examples in the implementation of UK funders’ OA requirements.</w:t>
      </w:r>
      <w:r w:rsidR="000722AB">
        <w:t xml:space="preserve"> It is anticipated that these events will be quarterly (alternating between projects) and have a primarily ‘</w:t>
      </w:r>
      <w:r w:rsidR="000722AB" w:rsidRPr="00A514CD">
        <w:t>practitioner-level</w:t>
      </w:r>
      <w:r w:rsidR="000722AB">
        <w:t>’ audience.</w:t>
      </w:r>
    </w:p>
    <w:p w14:paraId="238DC658" w14:textId="77777777" w:rsidR="00521F01" w:rsidRDefault="00A514CD" w:rsidP="00A514CD">
      <w:r>
        <w:t xml:space="preserve">Workshops should not be considered as ‘broadcast’ opportunities for the project but rather an opportunity to make the most of the knowledge and experience from across the wider community, and providing a forum for discussion, debate and knowledge- exchange. Each workshop should therefore include time for structured networking and discussion. </w:t>
      </w:r>
    </w:p>
    <w:p w14:paraId="10FEEF0B" w14:textId="77777777" w:rsidR="00A514CD" w:rsidRDefault="00A514CD" w:rsidP="00A514CD">
      <w:r>
        <w:t>Workshops should be tailored in accordance with the ‘theme’ of the project (e.g. monitoring of publication activity or costs etc.) but should include consideration of the following:</w:t>
      </w:r>
    </w:p>
    <w:p w14:paraId="1F254101" w14:textId="77777777" w:rsidR="00A514CD" w:rsidRDefault="00A514CD" w:rsidP="00A514CD">
      <w:r>
        <w:t>•</w:t>
      </w:r>
      <w:r>
        <w:tab/>
        <w:t>Project achievements that you feel others can learn from</w:t>
      </w:r>
    </w:p>
    <w:p w14:paraId="733B8C31" w14:textId="77777777" w:rsidR="00A514CD" w:rsidRDefault="00A514CD" w:rsidP="00A514CD">
      <w:r>
        <w:t>•</w:t>
      </w:r>
      <w:r>
        <w:tab/>
        <w:t>Ideas/methods/approaches transferable to other situations/ institutions</w:t>
      </w:r>
    </w:p>
    <w:p w14:paraId="4E7E22EB" w14:textId="77777777" w:rsidR="00A514CD" w:rsidRDefault="00A514CD" w:rsidP="00A514CD">
      <w:r>
        <w:lastRenderedPageBreak/>
        <w:t>•</w:t>
      </w:r>
      <w:r>
        <w:tab/>
        <w:t xml:space="preserve">Demonstration of practical, transferable results between HEIs (lead and associate) </w:t>
      </w:r>
    </w:p>
    <w:p w14:paraId="580E7998" w14:textId="77777777" w:rsidR="00A514CD" w:rsidRDefault="00A514CD" w:rsidP="00A514CD">
      <w:r>
        <w:t>•</w:t>
      </w:r>
      <w:r>
        <w:tab/>
        <w:t>Demonstration of how the work ties into the lead and associate institutional strategies</w:t>
      </w:r>
    </w:p>
    <w:p w14:paraId="3E5BAF75" w14:textId="77777777" w:rsidR="00A514CD" w:rsidRDefault="00A514CD" w:rsidP="00A514CD">
      <w:r>
        <w:t>•</w:t>
      </w:r>
      <w:r>
        <w:tab/>
        <w:t xml:space="preserve">Explanation of the costs and benefits </w:t>
      </w:r>
    </w:p>
    <w:p w14:paraId="5E670347" w14:textId="77777777" w:rsidR="00521F01" w:rsidRDefault="00521F01" w:rsidP="00521F01">
      <w:r>
        <w:t>It is anticipated that the range of professions attending will change according to the theme of the workshop. However in order to encourage collaboration and knowledge-exchange across professions, it is suggested that no limitation be attached to this but that this is monitored in registrations and feedback.</w:t>
      </w:r>
    </w:p>
    <w:p w14:paraId="30F5AA96" w14:textId="77777777" w:rsidR="00A514CD" w:rsidRDefault="00A514CD" w:rsidP="00A514CD">
      <w:r>
        <w:t xml:space="preserve">Jisc will offer support around programme planning, event co-ordination and publicity </w:t>
      </w:r>
      <w:r w:rsidR="00521F01">
        <w:t xml:space="preserve">(through the </w:t>
      </w:r>
      <w:hyperlink r:id="rId9" w:history="1">
        <w:r w:rsidR="00521F01" w:rsidRPr="00521F01">
          <w:rPr>
            <w:rStyle w:val="Hyperlink"/>
          </w:rPr>
          <w:t>OA Good Practice blog</w:t>
        </w:r>
      </w:hyperlink>
      <w:r w:rsidR="00521F01">
        <w:t xml:space="preserve">, twitter etc) </w:t>
      </w:r>
      <w:r>
        <w:t xml:space="preserve">but Projects should aim to provide venue facilities for approximately 40/50 attendees. </w:t>
      </w:r>
    </w:p>
    <w:p w14:paraId="5B9E16A1" w14:textId="77777777" w:rsidR="00A514CD" w:rsidRDefault="00A514CD">
      <w:r>
        <w:t xml:space="preserve">Further detailed plans will need to be drawn up once we have received the Pathfinder proposals, but within the proposals, projects will be encouraged to consider the theme of their workshop and when workshops they would prefer workshops take place within their proposal. (They will be asked to note that workshops should </w:t>
      </w:r>
      <w:r>
        <w:lastRenderedPageBreak/>
        <w:t>not only be at the end of the project when outputs are delivered but may be useful at the start when considering scope or at a mid-point as a first review of outputs.)</w:t>
      </w:r>
    </w:p>
    <w:p w14:paraId="672F5749" w14:textId="304D1E44" w:rsidR="009C5695" w:rsidRDefault="009C5695" w:rsidP="009C5695">
      <w:pPr>
        <w:pStyle w:val="Heading3"/>
      </w:pPr>
      <w:r>
        <w:t>“Mini-conferences”</w:t>
      </w:r>
    </w:p>
    <w:p w14:paraId="5AD70C08" w14:textId="61E545A4" w:rsidR="000722AB" w:rsidRDefault="00A514CD">
      <w:r>
        <w:t xml:space="preserve">As the </w:t>
      </w:r>
      <w:r w:rsidR="009C5695">
        <w:t xml:space="preserve">pathfinder project </w:t>
      </w:r>
      <w:r>
        <w:t xml:space="preserve">workshops are focused solely at a practitioner level </w:t>
      </w:r>
      <w:r w:rsidRPr="00A514CD">
        <w:t>and will therefore not be considering stra</w:t>
      </w:r>
      <w:r>
        <w:t xml:space="preserve">tegic development/ engagement, it is proposed that Jisc should </w:t>
      </w:r>
      <w:r w:rsidR="000722AB">
        <w:t xml:space="preserve">lead on </w:t>
      </w:r>
      <w:r w:rsidR="000722AB" w:rsidRPr="000722AB">
        <w:rPr>
          <w:b/>
          <w:i/>
        </w:rPr>
        <w:t>strategic</w:t>
      </w:r>
      <w:r w:rsidR="000722AB">
        <w:t xml:space="preserve"> engagement through bi-annual ‘mini-conferences’ around OA implementation. This should focus on the ‘why’, as opposed to the ‘how’ and bring together policy-makers within HEIs, funders, vendors, publishers and intermediaries. </w:t>
      </w:r>
    </w:p>
    <w:p w14:paraId="06F57E2E" w14:textId="77777777" w:rsidR="000722AB" w:rsidRDefault="000722AB" w:rsidP="000722AB">
      <w:pPr>
        <w:pStyle w:val="Heading3"/>
      </w:pPr>
      <w:r>
        <w:t>Webinars</w:t>
      </w:r>
    </w:p>
    <w:p w14:paraId="12F65413" w14:textId="77777777" w:rsidR="000722AB" w:rsidRDefault="000722AB" w:rsidP="000722AB">
      <w:r>
        <w:t>As projects will be charged with the structured delivery of workshops, it is proposed that webinars are</w:t>
      </w:r>
      <w:r w:rsidR="009A14A7">
        <w:t xml:space="preserve"> supported primarily by Jisc and will focus on</w:t>
      </w:r>
      <w:r>
        <w:t>:</w:t>
      </w:r>
    </w:p>
    <w:p w14:paraId="0F041A92" w14:textId="77777777" w:rsidR="000722AB" w:rsidRDefault="000722AB" w:rsidP="000722AB">
      <w:pPr>
        <w:pStyle w:val="ListParagraph"/>
        <w:numPr>
          <w:ilvl w:val="0"/>
          <w:numId w:val="9"/>
        </w:numPr>
      </w:pPr>
      <w:r>
        <w:t xml:space="preserve">delivery mechanism for Jisc, ARMA, RLUK or SCONUL project outputs from the scholarly communications area (e.g. outline/ description of Rioxx guidelines when ready) </w:t>
      </w:r>
    </w:p>
    <w:p w14:paraId="2B7C1953" w14:textId="77777777" w:rsidR="000722AB" w:rsidRPr="000722AB" w:rsidRDefault="000722AB" w:rsidP="000722AB">
      <w:pPr>
        <w:pStyle w:val="ListParagraph"/>
        <w:numPr>
          <w:ilvl w:val="0"/>
          <w:numId w:val="9"/>
        </w:numPr>
      </w:pPr>
      <w:r>
        <w:t>vehicles for strategic-level briefings (e.g. guidance from HEFCE regarding the new REF announcement) as time- appropriate</w:t>
      </w:r>
    </w:p>
    <w:p w14:paraId="52E4472A" w14:textId="77777777" w:rsidR="009A14A7" w:rsidRDefault="009A14A7">
      <w:r>
        <w:lastRenderedPageBreak/>
        <w:t>It is anticipated that these webinars</w:t>
      </w:r>
      <w:r w:rsidRPr="009A14A7">
        <w:t xml:space="preserve"> will be quarterly and</w:t>
      </w:r>
      <w:r w:rsidR="005F74B4">
        <w:t xml:space="preserve"> have a primarily ‘practitioner-</w:t>
      </w:r>
      <w:r w:rsidRPr="009A14A7">
        <w:t>le</w:t>
      </w:r>
      <w:r w:rsidR="00521F01">
        <w:t xml:space="preserve">vel’ audience advertised through the </w:t>
      </w:r>
      <w:hyperlink r:id="rId10" w:history="1">
        <w:r w:rsidR="00521F01" w:rsidRPr="00521F01">
          <w:rPr>
            <w:rStyle w:val="Hyperlink"/>
          </w:rPr>
          <w:t>OA Good Practice blog</w:t>
        </w:r>
      </w:hyperlink>
      <w:r w:rsidR="00521F01">
        <w:t>.</w:t>
      </w:r>
    </w:p>
    <w:p w14:paraId="1A8AF113" w14:textId="77777777" w:rsidR="009A14A7" w:rsidRDefault="009A14A7" w:rsidP="009A14A7">
      <w:pPr>
        <w:pStyle w:val="Heading3"/>
      </w:pPr>
      <w:r>
        <w:t>Guest Blogs</w:t>
      </w:r>
    </w:p>
    <w:p w14:paraId="5F4F1F12" w14:textId="77777777" w:rsidR="005F74B4" w:rsidRDefault="005F74B4">
      <w:r>
        <w:t xml:space="preserve">Guest blogs will be a way in which ‘highly visible’ members of the OA community e.g. either policy-makers/ funders/ Pathfinder project leaders/Members of the Jisc Scholarly Communications Advisory group/ ARMA, RLUK, SCONUL, will be able to communicate , publicise and/or give commentary on changes in policy areas or developments in the sector more broadly. </w:t>
      </w:r>
    </w:p>
    <w:p w14:paraId="7967E614" w14:textId="77777777" w:rsidR="005F74B4" w:rsidRDefault="005F74B4">
      <w:r>
        <w:t>It is anticipated that these guest blogs</w:t>
      </w:r>
      <w:r w:rsidRPr="005F74B4">
        <w:t xml:space="preserve"> will be quarterly and have a practitioner</w:t>
      </w:r>
      <w:r>
        <w:t xml:space="preserve"> and strategic level</w:t>
      </w:r>
      <w:r w:rsidRPr="005F74B4">
        <w:t xml:space="preserve"> audience.</w:t>
      </w:r>
      <w:r>
        <w:t xml:space="preserve"> These will be hosted </w:t>
      </w:r>
      <w:r w:rsidR="00521F01">
        <w:t xml:space="preserve">on the </w:t>
      </w:r>
      <w:hyperlink r:id="rId11" w:history="1">
        <w:r w:rsidR="00521F01" w:rsidRPr="00521F01">
          <w:rPr>
            <w:rStyle w:val="Hyperlink"/>
          </w:rPr>
          <w:t>OA Good Practice blog</w:t>
        </w:r>
      </w:hyperlink>
      <w:r w:rsidR="00521F01">
        <w:t xml:space="preserve"> </w:t>
      </w:r>
    </w:p>
    <w:sectPr w:rsidR="005F74B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0E400" w14:textId="77777777" w:rsidR="00D70A00" w:rsidRDefault="00D70A00" w:rsidP="0098615B">
      <w:pPr>
        <w:spacing w:after="0" w:line="240" w:lineRule="auto"/>
      </w:pPr>
      <w:r>
        <w:separator/>
      </w:r>
    </w:p>
  </w:endnote>
  <w:endnote w:type="continuationSeparator" w:id="0">
    <w:p w14:paraId="2F4F6DC1" w14:textId="77777777" w:rsidR="00D70A00" w:rsidRDefault="00D70A00" w:rsidP="0098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725787"/>
      <w:docPartObj>
        <w:docPartGallery w:val="Page Numbers (Bottom of Page)"/>
        <w:docPartUnique/>
      </w:docPartObj>
    </w:sdtPr>
    <w:sdtEndPr>
      <w:rPr>
        <w:noProof/>
      </w:rPr>
    </w:sdtEndPr>
    <w:sdtContent>
      <w:p w14:paraId="0D2CACB0" w14:textId="6DC4F4F1" w:rsidR="00A5130D" w:rsidRDefault="00A5130D">
        <w:pPr>
          <w:pStyle w:val="Footer"/>
        </w:pPr>
        <w:r>
          <w:fldChar w:fldCharType="begin"/>
        </w:r>
        <w:r>
          <w:instrText xml:space="preserve"> PAGE   \* MERGEFORMAT </w:instrText>
        </w:r>
        <w:r>
          <w:fldChar w:fldCharType="separate"/>
        </w:r>
        <w:r>
          <w:rPr>
            <w:noProof/>
          </w:rPr>
          <w:t>2</w:t>
        </w:r>
        <w:r>
          <w:rPr>
            <w:noProof/>
          </w:rPr>
          <w:fldChar w:fldCharType="end"/>
        </w:r>
      </w:p>
    </w:sdtContent>
  </w:sdt>
  <w:p w14:paraId="5BD81C3A" w14:textId="77777777" w:rsidR="00A5130D" w:rsidRDefault="00A51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330AB" w14:textId="77777777" w:rsidR="00D70A00" w:rsidRDefault="00D70A00" w:rsidP="0098615B">
      <w:pPr>
        <w:spacing w:after="0" w:line="240" w:lineRule="auto"/>
      </w:pPr>
      <w:r>
        <w:separator/>
      </w:r>
    </w:p>
  </w:footnote>
  <w:footnote w:type="continuationSeparator" w:id="0">
    <w:p w14:paraId="48DDE413" w14:textId="77777777" w:rsidR="00D70A00" w:rsidRDefault="00D70A00" w:rsidP="00986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4058B"/>
    <w:multiLevelType w:val="hybridMultilevel"/>
    <w:tmpl w:val="4BD21F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BD5527"/>
    <w:multiLevelType w:val="hybridMultilevel"/>
    <w:tmpl w:val="1724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464F42"/>
    <w:multiLevelType w:val="hybridMultilevel"/>
    <w:tmpl w:val="9A84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482406"/>
    <w:multiLevelType w:val="hybridMultilevel"/>
    <w:tmpl w:val="E68C06AE"/>
    <w:lvl w:ilvl="0" w:tplc="448061D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DD6567"/>
    <w:multiLevelType w:val="hybridMultilevel"/>
    <w:tmpl w:val="D702EB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4E6665FB"/>
    <w:multiLevelType w:val="hybridMultilevel"/>
    <w:tmpl w:val="214C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FA3D17"/>
    <w:multiLevelType w:val="hybridMultilevel"/>
    <w:tmpl w:val="A5DA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BA3B9E"/>
    <w:multiLevelType w:val="hybridMultilevel"/>
    <w:tmpl w:val="9BB2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067085"/>
    <w:multiLevelType w:val="hybridMultilevel"/>
    <w:tmpl w:val="BE5E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6A365B"/>
    <w:multiLevelType w:val="hybridMultilevel"/>
    <w:tmpl w:val="1C1A6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E02411"/>
    <w:multiLevelType w:val="hybridMultilevel"/>
    <w:tmpl w:val="03563D60"/>
    <w:lvl w:ilvl="0" w:tplc="08090001">
      <w:start w:val="1"/>
      <w:numFmt w:val="bullet"/>
      <w:lvlText w:val=""/>
      <w:lvlJc w:val="left"/>
      <w:pPr>
        <w:ind w:left="720" w:hanging="360"/>
      </w:pPr>
      <w:rPr>
        <w:rFonts w:ascii="Symbol" w:hAnsi="Symbol" w:hint="default"/>
      </w:rPr>
    </w:lvl>
    <w:lvl w:ilvl="1" w:tplc="D554A7C4">
      <w:start w:val="11"/>
      <w:numFmt w:val="bullet"/>
      <w:lvlText w:val="•"/>
      <w:lvlJc w:val="left"/>
      <w:pPr>
        <w:ind w:left="2520" w:hanging="144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10"/>
  </w:num>
  <w:num w:numId="5">
    <w:abstractNumId w:val="4"/>
  </w:num>
  <w:num w:numId="6">
    <w:abstractNumId w:val="5"/>
  </w:num>
  <w:num w:numId="7">
    <w:abstractNumId w:val="6"/>
  </w:num>
  <w:num w:numId="8">
    <w:abstractNumId w:val="8"/>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51"/>
    <w:rsid w:val="000722AB"/>
    <w:rsid w:val="000D65DF"/>
    <w:rsid w:val="000F1174"/>
    <w:rsid w:val="001466D3"/>
    <w:rsid w:val="00163F4F"/>
    <w:rsid w:val="00297FBB"/>
    <w:rsid w:val="00335B49"/>
    <w:rsid w:val="003767FC"/>
    <w:rsid w:val="00483D15"/>
    <w:rsid w:val="004F16AA"/>
    <w:rsid w:val="00521F01"/>
    <w:rsid w:val="005C27CD"/>
    <w:rsid w:val="005F74B4"/>
    <w:rsid w:val="007733FF"/>
    <w:rsid w:val="00852642"/>
    <w:rsid w:val="0098615B"/>
    <w:rsid w:val="009A14A7"/>
    <w:rsid w:val="009C5695"/>
    <w:rsid w:val="00A5130D"/>
    <w:rsid w:val="00A514CD"/>
    <w:rsid w:val="00A53EAB"/>
    <w:rsid w:val="00A8745E"/>
    <w:rsid w:val="00B46BD4"/>
    <w:rsid w:val="00C1580C"/>
    <w:rsid w:val="00C20F23"/>
    <w:rsid w:val="00CD2A2C"/>
    <w:rsid w:val="00D22951"/>
    <w:rsid w:val="00D70129"/>
    <w:rsid w:val="00D70A00"/>
    <w:rsid w:val="00EB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F0B0"/>
  <w15:docId w15:val="{D03BD525-4600-4985-82C8-44165FF8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1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14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22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3FF"/>
    <w:pPr>
      <w:ind w:left="720"/>
      <w:contextualSpacing/>
    </w:pPr>
  </w:style>
  <w:style w:type="paragraph" w:styleId="FootnoteText">
    <w:name w:val="footnote text"/>
    <w:basedOn w:val="Normal"/>
    <w:link w:val="FootnoteTextChar"/>
    <w:uiPriority w:val="99"/>
    <w:semiHidden/>
    <w:unhideWhenUsed/>
    <w:rsid w:val="009861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15B"/>
    <w:rPr>
      <w:sz w:val="20"/>
      <w:szCs w:val="20"/>
    </w:rPr>
  </w:style>
  <w:style w:type="character" w:styleId="FootnoteReference">
    <w:name w:val="footnote reference"/>
    <w:basedOn w:val="DefaultParagraphFont"/>
    <w:uiPriority w:val="99"/>
    <w:semiHidden/>
    <w:unhideWhenUsed/>
    <w:rsid w:val="0098615B"/>
    <w:rPr>
      <w:vertAlign w:val="superscript"/>
    </w:rPr>
  </w:style>
  <w:style w:type="character" w:styleId="CommentReference">
    <w:name w:val="annotation reference"/>
    <w:basedOn w:val="DefaultParagraphFont"/>
    <w:uiPriority w:val="99"/>
    <w:semiHidden/>
    <w:unhideWhenUsed/>
    <w:rsid w:val="00297FBB"/>
    <w:rPr>
      <w:sz w:val="16"/>
      <w:szCs w:val="16"/>
    </w:rPr>
  </w:style>
  <w:style w:type="paragraph" w:styleId="CommentText">
    <w:name w:val="annotation text"/>
    <w:basedOn w:val="Normal"/>
    <w:link w:val="CommentTextChar"/>
    <w:uiPriority w:val="99"/>
    <w:semiHidden/>
    <w:unhideWhenUsed/>
    <w:rsid w:val="00297FBB"/>
    <w:pPr>
      <w:spacing w:line="240" w:lineRule="auto"/>
    </w:pPr>
    <w:rPr>
      <w:sz w:val="20"/>
      <w:szCs w:val="20"/>
    </w:rPr>
  </w:style>
  <w:style w:type="character" w:customStyle="1" w:styleId="CommentTextChar">
    <w:name w:val="Comment Text Char"/>
    <w:basedOn w:val="DefaultParagraphFont"/>
    <w:link w:val="CommentText"/>
    <w:uiPriority w:val="99"/>
    <w:semiHidden/>
    <w:rsid w:val="00297FBB"/>
    <w:rPr>
      <w:sz w:val="20"/>
      <w:szCs w:val="20"/>
    </w:rPr>
  </w:style>
  <w:style w:type="paragraph" w:styleId="CommentSubject">
    <w:name w:val="annotation subject"/>
    <w:basedOn w:val="CommentText"/>
    <w:next w:val="CommentText"/>
    <w:link w:val="CommentSubjectChar"/>
    <w:uiPriority w:val="99"/>
    <w:semiHidden/>
    <w:unhideWhenUsed/>
    <w:rsid w:val="00297FBB"/>
    <w:rPr>
      <w:b/>
      <w:bCs/>
    </w:rPr>
  </w:style>
  <w:style w:type="character" w:customStyle="1" w:styleId="CommentSubjectChar">
    <w:name w:val="Comment Subject Char"/>
    <w:basedOn w:val="CommentTextChar"/>
    <w:link w:val="CommentSubject"/>
    <w:uiPriority w:val="99"/>
    <w:semiHidden/>
    <w:rsid w:val="00297FBB"/>
    <w:rPr>
      <w:b/>
      <w:bCs/>
      <w:sz w:val="20"/>
      <w:szCs w:val="20"/>
    </w:rPr>
  </w:style>
  <w:style w:type="paragraph" w:styleId="BalloonText">
    <w:name w:val="Balloon Text"/>
    <w:basedOn w:val="Normal"/>
    <w:link w:val="BalloonTextChar"/>
    <w:uiPriority w:val="99"/>
    <w:semiHidden/>
    <w:unhideWhenUsed/>
    <w:rsid w:val="00297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FBB"/>
    <w:rPr>
      <w:rFonts w:ascii="Tahoma" w:hAnsi="Tahoma" w:cs="Tahoma"/>
      <w:sz w:val="16"/>
      <w:szCs w:val="16"/>
    </w:rPr>
  </w:style>
  <w:style w:type="character" w:customStyle="1" w:styleId="Heading1Char">
    <w:name w:val="Heading 1 Char"/>
    <w:basedOn w:val="DefaultParagraphFont"/>
    <w:link w:val="Heading1"/>
    <w:uiPriority w:val="9"/>
    <w:rsid w:val="00A514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14C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514CD"/>
    <w:rPr>
      <w:color w:val="0000FF" w:themeColor="hyperlink"/>
      <w:u w:val="single"/>
    </w:rPr>
  </w:style>
  <w:style w:type="character" w:customStyle="1" w:styleId="Heading3Char">
    <w:name w:val="Heading 3 Char"/>
    <w:basedOn w:val="DefaultParagraphFont"/>
    <w:link w:val="Heading3"/>
    <w:uiPriority w:val="9"/>
    <w:rsid w:val="000722A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51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30D"/>
  </w:style>
  <w:style w:type="paragraph" w:styleId="Footer">
    <w:name w:val="footer"/>
    <w:basedOn w:val="Normal"/>
    <w:link w:val="FooterChar"/>
    <w:uiPriority w:val="99"/>
    <w:unhideWhenUsed/>
    <w:rsid w:val="00A51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66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scinfonet.ac.uk/cam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access.jiscinvolve.org/wp/" TargetMode="External"/><Relationship Id="rId5" Type="http://schemas.openxmlformats.org/officeDocument/2006/relationships/webSettings" Target="webSettings.xml"/><Relationship Id="rId10" Type="http://schemas.openxmlformats.org/officeDocument/2006/relationships/hyperlink" Target="http://openaccess.jiscinvolve.org/wp/" TargetMode="External"/><Relationship Id="rId4" Type="http://schemas.openxmlformats.org/officeDocument/2006/relationships/settings" Target="settings.xml"/><Relationship Id="rId9" Type="http://schemas.openxmlformats.org/officeDocument/2006/relationships/hyperlink" Target="http://openaccess.jiscinvolve.org/w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DAB2E-7E06-48C2-9EEA-4D518B00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sarah.fahmy</dc:creator>
  <cp:lastModifiedBy>Neil Jacobs</cp:lastModifiedBy>
  <cp:revision>5</cp:revision>
  <dcterms:created xsi:type="dcterms:W3CDTF">2014-04-15T22:03:00Z</dcterms:created>
  <dcterms:modified xsi:type="dcterms:W3CDTF">2014-04-15T22:11:00Z</dcterms:modified>
</cp:coreProperties>
</file>