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0A9A" w14:textId="3DB5D7EF" w:rsidR="005D68E1" w:rsidRPr="005D68E1" w:rsidRDefault="007E7377" w:rsidP="005D68E1">
      <w:pPr>
        <w:pStyle w:val="JiscCoverTitle"/>
        <w:rPr>
          <w:sz w:val="80"/>
          <w:szCs w:val="80"/>
        </w:rPr>
      </w:pPr>
      <w:r w:rsidRPr="007E7377">
        <w:rPr>
          <w:sz w:val="80"/>
          <w:szCs w:val="80"/>
        </w:rPr>
        <w:t>Open Access complia</w:t>
      </w:r>
      <w:bookmarkStart w:id="0" w:name="_GoBack"/>
      <w:bookmarkEnd w:id="0"/>
      <w:r w:rsidRPr="007E7377">
        <w:rPr>
          <w:sz w:val="80"/>
          <w:szCs w:val="80"/>
        </w:rPr>
        <w:t xml:space="preserve">nce: how publishers can help </w:t>
      </w:r>
    </w:p>
    <w:p w14:paraId="4E9FA3B7" w14:textId="6D54038F" w:rsidR="005D68E1" w:rsidRDefault="007E7377" w:rsidP="005D68E1">
      <w:pPr>
        <w:pStyle w:val="JiscCoverSubtitle"/>
        <w:pBdr>
          <w:bottom w:val="single" w:sz="12" w:space="1" w:color="552481" w:themeColor="accent3"/>
        </w:pBdr>
        <w:tabs>
          <w:tab w:val="left" w:pos="6851"/>
        </w:tabs>
      </w:pPr>
      <w:r w:rsidRPr="007E7377">
        <w:t>A summary of current desiderata as understood by Jisc, March 2015</w:t>
      </w:r>
    </w:p>
    <w:p w14:paraId="0428ABAA" w14:textId="54C52062" w:rsidR="005D68E1" w:rsidRPr="003F391B" w:rsidRDefault="000C57B5" w:rsidP="004C3BB6">
      <w:pPr>
        <w:pStyle w:val="JiscTitle"/>
        <w:pageBreakBefore w:val="0"/>
        <w:spacing w:before="1000"/>
      </w:pPr>
      <w:r>
        <w:lastRenderedPageBreak/>
        <w:t>Introduction</w:t>
      </w:r>
    </w:p>
    <w:p w14:paraId="51DF8ECF" w14:textId="1467A906" w:rsidR="00EE6C95" w:rsidRPr="007E7377" w:rsidRDefault="007E7377" w:rsidP="005D68E1">
      <w:pPr>
        <w:pStyle w:val="Delete"/>
        <w:rPr>
          <w:color w:val="auto"/>
        </w:rPr>
      </w:pPr>
      <w:r w:rsidRPr="007E7377">
        <w:rPr>
          <w:color w:val="auto"/>
        </w:rPr>
        <w:t xml:space="preserve">This document describes some things that publishers might do, that would help authors and institutions implement OA in the UK (and probably elsewhere) with reduced administrative burden, taking some of the friction out of the current arrangements.  It has been collated through discussions with Jisc and those implementing OA in UK universities, and we acknowledge considerable assistance from RLUK members and others in this work.  It is our best attempt to collate these desiderata; while we acknowledge that this is a fast-changing area, we hope we have crystallised some steps that publishers could take that would have lasting benefit for their customers.  This document does not suggest that compliance with OA policies is anything other than the responsibility of those covered by those policies, mainly researchers and their institutions. </w:t>
      </w:r>
    </w:p>
    <w:p w14:paraId="158C88DF" w14:textId="2DD36FDE" w:rsidR="00E91D7A" w:rsidRPr="00425A97" w:rsidRDefault="007E7377" w:rsidP="009F6F75">
      <w:pPr>
        <w:pStyle w:val="JiscTitleNoPageBreak"/>
        <w:spacing w:before="720"/>
      </w:pPr>
      <w:r w:rsidRPr="007E7377">
        <w:t>Background</w:t>
      </w:r>
    </w:p>
    <w:p w14:paraId="253F2A09" w14:textId="77777777" w:rsidR="007E7377" w:rsidRPr="007E7377" w:rsidRDefault="007E7377" w:rsidP="007E7377">
      <w:pPr>
        <w:pStyle w:val="Delete"/>
        <w:rPr>
          <w:color w:val="auto"/>
        </w:rPr>
      </w:pPr>
      <w:r w:rsidRPr="007E7377">
        <w:rPr>
          <w:color w:val="auto"/>
        </w:rPr>
        <w:t xml:space="preserve">UK institutions are asking for help from publishers as they seek to comply with the open access requirements of various research funding bodies. Especially prominent here is the need to satisfy the requirements of the policy on Open Access and the REF from HEFCE and the other UK funding bodies, which fund institutions’ salaries </w:t>
      </w:r>
      <w:r w:rsidRPr="007E7377">
        <w:rPr>
          <w:color w:val="auto"/>
        </w:rPr>
        <w:lastRenderedPageBreak/>
        <w:t>and infrastructure. (Further information on this policy is given at the end of this document.)</w:t>
      </w:r>
    </w:p>
    <w:p w14:paraId="033C6FA5" w14:textId="77777777" w:rsidR="007E7377" w:rsidRPr="007E7377" w:rsidRDefault="007E7377" w:rsidP="007E7377">
      <w:pPr>
        <w:pStyle w:val="Delete"/>
        <w:rPr>
          <w:color w:val="auto"/>
        </w:rPr>
      </w:pPr>
      <w:r w:rsidRPr="007E7377">
        <w:rPr>
          <w:color w:val="auto"/>
        </w:rPr>
        <w:t xml:space="preserve">There are a number of things that publishers can do to help. It would be in their interests to address these needs, not only so that they are seen to be doing so, helping to retain and attract subscribing institutions, but also to attract submissions from the best UK authors, who will be concerned to meet their funders' requirements with the least possible effort. </w:t>
      </w:r>
    </w:p>
    <w:p w14:paraId="4093AE49" w14:textId="77777777" w:rsidR="007E7377" w:rsidRPr="007E7377" w:rsidRDefault="007E7377" w:rsidP="007E7377">
      <w:pPr>
        <w:pStyle w:val="Delete"/>
        <w:rPr>
          <w:color w:val="auto"/>
        </w:rPr>
      </w:pPr>
      <w:r w:rsidRPr="007E7377">
        <w:rPr>
          <w:color w:val="auto"/>
        </w:rPr>
        <w:t>Several of these measures will also help protect publishers’ business interests from developments that might otherwise be seen as threatening them, for example by making it easier for authors and institutions to identify and adhere to publishers’ licensing terms, including their policies on depositing to open repositories. We would like to help publishers and institutions automate as many elements of this process as we can.</w:t>
      </w:r>
    </w:p>
    <w:p w14:paraId="072A9D5A" w14:textId="74D82B54" w:rsidR="007E7377" w:rsidRPr="007E7377" w:rsidRDefault="007E7377" w:rsidP="007E7377">
      <w:pPr>
        <w:pStyle w:val="Delete"/>
        <w:rPr>
          <w:color w:val="auto"/>
        </w:rPr>
      </w:pPr>
      <w:r w:rsidRPr="007E7377">
        <w:rPr>
          <w:color w:val="auto"/>
        </w:rPr>
        <w:t>Some of these steps would point readers to the content on publishers’ sites, thereby adding to the usage statistics that libraries take into account when considering renewals.</w:t>
      </w:r>
      <w:r>
        <w:rPr>
          <w:color w:val="auto"/>
        </w:rPr>
        <w:t xml:space="preserve">  </w:t>
      </w:r>
      <w:r w:rsidRPr="007E7377">
        <w:rPr>
          <w:color w:val="auto"/>
        </w:rPr>
        <w:t>They will also help publishers demonstrate to funders and policy makers that they are assisting compliance.</w:t>
      </w:r>
    </w:p>
    <w:p w14:paraId="02026ED0" w14:textId="77777777" w:rsidR="007E7377" w:rsidRPr="007E7377" w:rsidRDefault="007E7377" w:rsidP="007E7377">
      <w:pPr>
        <w:pStyle w:val="Delete"/>
        <w:rPr>
          <w:color w:val="auto"/>
        </w:rPr>
      </w:pPr>
      <w:r w:rsidRPr="007E7377">
        <w:rPr>
          <w:color w:val="auto"/>
        </w:rPr>
        <w:t xml:space="preserve">A table of the ways in which the sector is asking for publishers’ help is given on the following pages. </w:t>
      </w:r>
    </w:p>
    <w:p w14:paraId="15BD86C0" w14:textId="6F86AA91" w:rsidR="007E7377" w:rsidRPr="00425A97" w:rsidRDefault="007E7377" w:rsidP="000C57B5">
      <w:pPr>
        <w:pStyle w:val="JiscTitleNoPageBreak"/>
        <w:spacing w:after="360"/>
      </w:pPr>
      <w:r>
        <w:lastRenderedPageBreak/>
        <w:t>Desiderata</w:t>
      </w:r>
    </w:p>
    <w:tbl>
      <w:tblPr>
        <w:tblStyle w:val="TableGrid"/>
        <w:tblW w:w="9918" w:type="dxa"/>
        <w:tblLayout w:type="fixed"/>
        <w:tblLook w:val="04A0" w:firstRow="1" w:lastRow="0" w:firstColumn="1" w:lastColumn="0" w:noHBand="0" w:noVBand="1"/>
      </w:tblPr>
      <w:tblGrid>
        <w:gridCol w:w="421"/>
        <w:gridCol w:w="3402"/>
        <w:gridCol w:w="2835"/>
        <w:gridCol w:w="3260"/>
      </w:tblGrid>
      <w:tr w:rsidR="000C57B5" w:rsidRPr="00C9265C" w14:paraId="2E86092E" w14:textId="77777777" w:rsidTr="009F6F75">
        <w:trPr>
          <w:cnfStyle w:val="100000000000" w:firstRow="1" w:lastRow="0" w:firstColumn="0" w:lastColumn="0" w:oddVBand="0" w:evenVBand="0" w:oddHBand="0" w:evenHBand="0" w:firstRowFirstColumn="0" w:firstRowLastColumn="0" w:lastRowFirstColumn="0" w:lastRowLastColumn="0"/>
          <w:cantSplit/>
          <w:trHeight w:val="315"/>
        </w:trPr>
        <w:tc>
          <w:tcPr>
            <w:tcW w:w="421" w:type="dxa"/>
            <w:hideMark/>
          </w:tcPr>
          <w:p w14:paraId="66323CA2" w14:textId="77777777" w:rsidR="000C57B5" w:rsidRPr="00C9265C" w:rsidRDefault="000C57B5" w:rsidP="00DE27D9">
            <w:pPr>
              <w:rPr>
                <w:rFonts w:ascii="Calibri" w:eastAsia="Times New Roman" w:hAnsi="Calibri" w:cs="Arial"/>
                <w:b w:val="0"/>
                <w:bCs/>
                <w:color w:val="000000"/>
                <w:lang w:eastAsia="en-GB"/>
              </w:rPr>
            </w:pPr>
            <w:r w:rsidRPr="00C9265C">
              <w:rPr>
                <w:rFonts w:ascii="Calibri" w:eastAsia="Times New Roman" w:hAnsi="Calibri" w:cs="Arial"/>
                <w:bCs/>
                <w:color w:val="000000"/>
                <w:lang w:eastAsia="en-GB"/>
              </w:rPr>
              <w:t> </w:t>
            </w:r>
          </w:p>
        </w:tc>
        <w:tc>
          <w:tcPr>
            <w:tcW w:w="3402" w:type="dxa"/>
            <w:hideMark/>
          </w:tcPr>
          <w:p w14:paraId="304CFAC7" w14:textId="77777777" w:rsidR="000C57B5" w:rsidRPr="00C9265C" w:rsidRDefault="000C57B5" w:rsidP="00DE27D9">
            <w:pPr>
              <w:rPr>
                <w:rFonts w:ascii="Calibri" w:eastAsia="Times New Roman" w:hAnsi="Calibri" w:cs="Arial"/>
                <w:b w:val="0"/>
                <w:bCs/>
                <w:color w:val="000000"/>
                <w:lang w:eastAsia="en-GB"/>
              </w:rPr>
            </w:pPr>
            <w:r w:rsidRPr="000C57B5">
              <w:rPr>
                <w:rFonts w:ascii="Calibri" w:eastAsia="Times New Roman" w:hAnsi="Calibri" w:cs="Arial"/>
                <w:bCs/>
                <w:color w:val="FFFFFF" w:themeColor="background1"/>
                <w:lang w:eastAsia="en-GB"/>
              </w:rPr>
              <w:t>Service we would like</w:t>
            </w:r>
          </w:p>
        </w:tc>
        <w:tc>
          <w:tcPr>
            <w:tcW w:w="2835" w:type="dxa"/>
            <w:hideMark/>
          </w:tcPr>
          <w:p w14:paraId="143D7BAA" w14:textId="77777777" w:rsidR="000C57B5" w:rsidRPr="00C9265C" w:rsidRDefault="000C57B5" w:rsidP="00DE27D9">
            <w:pPr>
              <w:rPr>
                <w:rFonts w:ascii="Calibri" w:eastAsia="Times New Roman" w:hAnsi="Calibri" w:cs="Arial"/>
                <w:b w:val="0"/>
                <w:bCs/>
                <w:color w:val="000000"/>
                <w:lang w:eastAsia="en-GB"/>
              </w:rPr>
            </w:pPr>
            <w:r w:rsidRPr="000C57B5">
              <w:rPr>
                <w:rFonts w:ascii="Calibri" w:eastAsia="Times New Roman" w:hAnsi="Calibri" w:cs="Arial"/>
                <w:bCs/>
                <w:color w:val="FFFFFF" w:themeColor="background1"/>
                <w:lang w:eastAsia="en-GB"/>
              </w:rPr>
              <w:t>Why?</w:t>
            </w:r>
          </w:p>
        </w:tc>
        <w:tc>
          <w:tcPr>
            <w:tcW w:w="3260" w:type="dxa"/>
            <w:hideMark/>
          </w:tcPr>
          <w:p w14:paraId="15BDD44B" w14:textId="77777777" w:rsidR="000C57B5" w:rsidRPr="00C9265C" w:rsidRDefault="000C57B5" w:rsidP="00DE27D9">
            <w:pPr>
              <w:rPr>
                <w:rFonts w:ascii="Calibri" w:eastAsia="Times New Roman" w:hAnsi="Calibri" w:cs="Arial"/>
                <w:b w:val="0"/>
                <w:bCs/>
                <w:color w:val="000000"/>
                <w:lang w:eastAsia="en-GB"/>
              </w:rPr>
            </w:pPr>
            <w:r w:rsidRPr="000C57B5">
              <w:rPr>
                <w:rFonts w:ascii="Calibri" w:eastAsia="Times New Roman" w:hAnsi="Calibri" w:cs="Arial"/>
                <w:bCs/>
                <w:color w:val="FFFFFF" w:themeColor="background1"/>
                <w:lang w:eastAsia="en-GB"/>
              </w:rPr>
              <w:t>Benefit to publishers</w:t>
            </w:r>
          </w:p>
        </w:tc>
      </w:tr>
      <w:tr w:rsidR="000C57B5" w:rsidRPr="00C9265C" w14:paraId="737A3064" w14:textId="77777777" w:rsidTr="009F6F75">
        <w:trPr>
          <w:cantSplit/>
          <w:trHeight w:val="4800"/>
        </w:trPr>
        <w:tc>
          <w:tcPr>
            <w:tcW w:w="421" w:type="dxa"/>
            <w:hideMark/>
          </w:tcPr>
          <w:p w14:paraId="671AEB92" w14:textId="77777777" w:rsidR="000C57B5" w:rsidRPr="008D0C76"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hideMark/>
          </w:tcPr>
          <w:p w14:paraId="0ECC3348" w14:textId="77777777" w:rsidR="000C57B5" w:rsidRPr="00685069" w:rsidRDefault="000C57B5" w:rsidP="00DE27D9">
            <w:pPr>
              <w:spacing w:after="120"/>
              <w:rPr>
                <w:sz w:val="18"/>
                <w:szCs w:val="18"/>
                <w:lang w:eastAsia="en-GB"/>
              </w:rPr>
            </w:pPr>
            <w:r w:rsidRPr="00685069">
              <w:rPr>
                <w:sz w:val="18"/>
                <w:szCs w:val="18"/>
                <w:lang w:eastAsia="en-GB"/>
              </w:rPr>
              <w:t xml:space="preserve">The publisher undertakes to supply the author’s accepted manuscript (AAM) to the author as an attachment to the acceptance email. This should be in the form that they permit to deposit on an open repository (i.e. already including any disclaimer or other statements that they require under these circumstances). </w:t>
            </w:r>
          </w:p>
          <w:p w14:paraId="4AD81291" w14:textId="77777777" w:rsidR="000C57B5" w:rsidRPr="00685069" w:rsidRDefault="000C57B5" w:rsidP="00DE27D9">
            <w:pPr>
              <w:spacing w:after="120"/>
              <w:rPr>
                <w:sz w:val="18"/>
                <w:szCs w:val="18"/>
                <w:lang w:eastAsia="en-GB"/>
              </w:rPr>
            </w:pPr>
            <w:r w:rsidRPr="00685069">
              <w:rPr>
                <w:sz w:val="18"/>
                <w:szCs w:val="18"/>
                <w:lang w:eastAsia="en-GB"/>
              </w:rPr>
              <w:t xml:space="preserve">Ideally, it should be emailed to all authors, not just the corresponding author. Failing that, the letter should ask the corresponding author to forward it, together with the attached AAM, to the other authors. </w:t>
            </w:r>
          </w:p>
        </w:tc>
        <w:tc>
          <w:tcPr>
            <w:tcW w:w="2835" w:type="dxa"/>
            <w:hideMark/>
          </w:tcPr>
          <w:p w14:paraId="5E4D3478" w14:textId="77777777" w:rsidR="000C57B5" w:rsidRPr="00685069" w:rsidRDefault="000C57B5" w:rsidP="00DE27D9">
            <w:pPr>
              <w:spacing w:after="120"/>
              <w:rPr>
                <w:sz w:val="18"/>
                <w:szCs w:val="18"/>
                <w:lang w:eastAsia="en-GB"/>
              </w:rPr>
            </w:pPr>
            <w:r w:rsidRPr="00685069">
              <w:rPr>
                <w:sz w:val="18"/>
                <w:szCs w:val="18"/>
                <w:lang w:eastAsia="en-GB"/>
              </w:rPr>
              <w:t>To prompt author to upload to institutional repository (IR), or to ask IR staff to do so.</w:t>
            </w:r>
          </w:p>
          <w:p w14:paraId="52E2B9BB" w14:textId="77777777" w:rsidR="000C57B5" w:rsidRPr="00685069" w:rsidRDefault="000C57B5" w:rsidP="00DE27D9">
            <w:pPr>
              <w:spacing w:after="120"/>
              <w:rPr>
                <w:sz w:val="18"/>
                <w:szCs w:val="18"/>
                <w:lang w:eastAsia="en-GB"/>
              </w:rPr>
            </w:pPr>
            <w:r w:rsidRPr="00685069">
              <w:rPr>
                <w:sz w:val="18"/>
                <w:szCs w:val="18"/>
                <w:lang w:eastAsia="en-GB"/>
              </w:rPr>
              <w:t>To ensure all co-authors are also prompted and are aware of date of acceptance.</w:t>
            </w:r>
          </w:p>
          <w:p w14:paraId="5EFC287A" w14:textId="77777777" w:rsidR="000C57B5" w:rsidRPr="00685069" w:rsidRDefault="000C57B5" w:rsidP="00DE27D9">
            <w:pPr>
              <w:spacing w:after="120"/>
              <w:rPr>
                <w:sz w:val="18"/>
                <w:szCs w:val="18"/>
                <w:lang w:eastAsia="en-GB"/>
              </w:rPr>
            </w:pPr>
            <w:r w:rsidRPr="00685069">
              <w:rPr>
                <w:sz w:val="18"/>
                <w:szCs w:val="18"/>
                <w:lang w:eastAsia="en-GB"/>
              </w:rPr>
              <w:t>To save IR staff time in investigating details of acceptance date.</w:t>
            </w:r>
          </w:p>
          <w:p w14:paraId="0AA9BF98" w14:textId="77777777" w:rsidR="000C57B5" w:rsidRPr="00685069" w:rsidRDefault="000C57B5" w:rsidP="00DE27D9">
            <w:pPr>
              <w:spacing w:after="120"/>
              <w:rPr>
                <w:sz w:val="18"/>
                <w:szCs w:val="18"/>
                <w:lang w:eastAsia="en-GB"/>
              </w:rPr>
            </w:pPr>
            <w:r w:rsidRPr="00685069">
              <w:rPr>
                <w:sz w:val="18"/>
                <w:szCs w:val="18"/>
                <w:lang w:eastAsia="en-GB"/>
              </w:rPr>
              <w:t>To help ensure correct version is deposited (AAM as opposed to earlier author versions).</w:t>
            </w:r>
          </w:p>
        </w:tc>
        <w:tc>
          <w:tcPr>
            <w:tcW w:w="3260" w:type="dxa"/>
            <w:hideMark/>
          </w:tcPr>
          <w:p w14:paraId="2D27D395" w14:textId="77777777" w:rsidR="000C57B5" w:rsidRPr="00685069" w:rsidRDefault="000C57B5" w:rsidP="00DE27D9">
            <w:pPr>
              <w:spacing w:after="120"/>
              <w:rPr>
                <w:sz w:val="18"/>
                <w:szCs w:val="18"/>
                <w:lang w:eastAsia="en-GB"/>
              </w:rPr>
            </w:pPr>
            <w:r w:rsidRPr="00685069">
              <w:rPr>
                <w:b/>
                <w:sz w:val="18"/>
                <w:szCs w:val="18"/>
                <w:lang w:eastAsia="en-GB"/>
              </w:rPr>
              <w:t xml:space="preserve">Correct version. </w:t>
            </w:r>
            <w:r w:rsidRPr="00685069">
              <w:rPr>
                <w:sz w:val="18"/>
                <w:szCs w:val="18"/>
                <w:lang w:eastAsia="en-GB"/>
              </w:rPr>
              <w:t xml:space="preserve">Helps ensure that any version deposited by the author(s) on a repository is the one that the publisher’s policy allows, and that any publisher disclaimer is included. </w:t>
            </w:r>
          </w:p>
          <w:p w14:paraId="6BECB8CB" w14:textId="77777777" w:rsidR="000C57B5" w:rsidRPr="00685069" w:rsidRDefault="000C57B5" w:rsidP="00DE27D9">
            <w:pPr>
              <w:spacing w:after="120"/>
              <w:rPr>
                <w:sz w:val="18"/>
                <w:szCs w:val="18"/>
                <w:lang w:eastAsia="en-GB"/>
              </w:rPr>
            </w:pPr>
            <w:r w:rsidRPr="00685069">
              <w:rPr>
                <w:sz w:val="18"/>
                <w:szCs w:val="18"/>
                <w:lang w:eastAsia="en-GB"/>
              </w:rPr>
              <w:t xml:space="preserve">If publisher adds </w:t>
            </w:r>
            <w:proofErr w:type="spellStart"/>
            <w:r w:rsidRPr="00685069">
              <w:rPr>
                <w:sz w:val="18"/>
                <w:szCs w:val="18"/>
                <w:lang w:eastAsia="en-GB"/>
              </w:rPr>
              <w:t>CrossMark</w:t>
            </w:r>
            <w:proofErr w:type="spellEnd"/>
            <w:r w:rsidRPr="00685069">
              <w:rPr>
                <w:sz w:val="18"/>
                <w:szCs w:val="18"/>
                <w:lang w:eastAsia="en-GB"/>
              </w:rPr>
              <w:t xml:space="preserve"> (or other links back to publisher site) to AAM, ensures these are included in the version deposited, helping to </w:t>
            </w:r>
            <w:r w:rsidRPr="00685069">
              <w:rPr>
                <w:b/>
                <w:sz w:val="18"/>
                <w:szCs w:val="18"/>
                <w:lang w:eastAsia="en-GB"/>
              </w:rPr>
              <w:t>increase traffic back to publisher site</w:t>
            </w:r>
            <w:r w:rsidRPr="00685069">
              <w:rPr>
                <w:sz w:val="18"/>
                <w:szCs w:val="18"/>
                <w:lang w:eastAsia="en-GB"/>
              </w:rPr>
              <w:t>.</w:t>
            </w:r>
          </w:p>
        </w:tc>
      </w:tr>
      <w:tr w:rsidR="000C57B5" w:rsidRPr="00C9265C" w14:paraId="31E91955" w14:textId="77777777" w:rsidTr="009F6F75">
        <w:trPr>
          <w:cantSplit/>
          <w:trHeight w:val="1500"/>
        </w:trPr>
        <w:tc>
          <w:tcPr>
            <w:tcW w:w="421" w:type="dxa"/>
            <w:hideMark/>
          </w:tcPr>
          <w:p w14:paraId="319F54DB"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hideMark/>
          </w:tcPr>
          <w:p w14:paraId="48871805" w14:textId="77777777" w:rsidR="000C57B5" w:rsidRPr="00685069" w:rsidRDefault="000C57B5" w:rsidP="00DE27D9">
            <w:pPr>
              <w:spacing w:after="120"/>
              <w:rPr>
                <w:sz w:val="18"/>
                <w:szCs w:val="18"/>
                <w:lang w:eastAsia="en-GB"/>
              </w:rPr>
            </w:pPr>
            <w:r w:rsidRPr="00685069">
              <w:rPr>
                <w:sz w:val="18"/>
                <w:szCs w:val="18"/>
                <w:lang w:eastAsia="en-GB"/>
              </w:rPr>
              <w:t>The publisher commits to deliver a copy of the AM at or near acceptance to a Jisc service (such as Jisc Publications Router) that helps institutions comply with the REF policy, subject only to limitations in their current technical systems, which nonetheless they commit to make reasonable efforts to try to address.</w:t>
            </w:r>
          </w:p>
        </w:tc>
        <w:tc>
          <w:tcPr>
            <w:tcW w:w="2835" w:type="dxa"/>
            <w:hideMark/>
          </w:tcPr>
          <w:p w14:paraId="01B15615" w14:textId="77777777" w:rsidR="000C57B5" w:rsidRPr="00685069" w:rsidRDefault="000C57B5" w:rsidP="00DE27D9">
            <w:pPr>
              <w:spacing w:after="120"/>
              <w:rPr>
                <w:rFonts w:ascii="Calibri" w:eastAsia="Times New Roman" w:hAnsi="Calibri" w:cs="Arial"/>
                <w:color w:val="000000"/>
                <w:sz w:val="18"/>
                <w:szCs w:val="18"/>
                <w:lang w:eastAsia="en-GB"/>
              </w:rPr>
            </w:pPr>
            <w:r w:rsidRPr="00685069">
              <w:rPr>
                <w:rFonts w:ascii="Calibri" w:eastAsia="Times New Roman" w:hAnsi="Calibri" w:cs="Arial"/>
                <w:color w:val="000000"/>
                <w:sz w:val="18"/>
                <w:szCs w:val="18"/>
                <w:lang w:eastAsia="en-GB"/>
              </w:rPr>
              <w:t>To help institutions to comply with REF OA policy as efficiently as possible.</w:t>
            </w:r>
          </w:p>
        </w:tc>
        <w:tc>
          <w:tcPr>
            <w:tcW w:w="3260" w:type="dxa"/>
            <w:hideMark/>
          </w:tcPr>
          <w:p w14:paraId="0B400414" w14:textId="77777777" w:rsidR="000C57B5" w:rsidRPr="00685069" w:rsidRDefault="000C57B5" w:rsidP="00DE27D9">
            <w:pPr>
              <w:spacing w:after="120"/>
              <w:rPr>
                <w:sz w:val="18"/>
                <w:szCs w:val="18"/>
                <w:lang w:eastAsia="en-GB"/>
              </w:rPr>
            </w:pPr>
            <w:r w:rsidRPr="00685069">
              <w:rPr>
                <w:sz w:val="18"/>
                <w:szCs w:val="18"/>
                <w:lang w:eastAsia="en-GB"/>
              </w:rPr>
              <w:t xml:space="preserve">The </w:t>
            </w:r>
            <w:r w:rsidRPr="00685069">
              <w:rPr>
                <w:b/>
                <w:sz w:val="18"/>
                <w:szCs w:val="18"/>
                <w:lang w:eastAsia="en-GB"/>
              </w:rPr>
              <w:t>best UK authors are more likely to submit</w:t>
            </w:r>
            <w:r w:rsidRPr="00685069">
              <w:rPr>
                <w:sz w:val="18"/>
                <w:szCs w:val="18"/>
                <w:lang w:eastAsia="en-GB"/>
              </w:rPr>
              <w:t xml:space="preserve"> their best papers if they can be confident that the publisher is actively helping them to comply with the REF stipulations, and so they don't need to worry about depositing onto their repository themselves.</w:t>
            </w:r>
          </w:p>
        </w:tc>
      </w:tr>
      <w:tr w:rsidR="000C57B5" w:rsidRPr="00C9265C" w14:paraId="264B47D6" w14:textId="77777777" w:rsidTr="009F6F75">
        <w:trPr>
          <w:cantSplit/>
          <w:trHeight w:val="1800"/>
        </w:trPr>
        <w:tc>
          <w:tcPr>
            <w:tcW w:w="421" w:type="dxa"/>
            <w:hideMark/>
          </w:tcPr>
          <w:p w14:paraId="567DA6D6"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lastRenderedPageBreak/>
              <w:t> </w:t>
            </w:r>
          </w:p>
        </w:tc>
        <w:tc>
          <w:tcPr>
            <w:tcW w:w="3402" w:type="dxa"/>
            <w:hideMark/>
          </w:tcPr>
          <w:p w14:paraId="2D764FF3" w14:textId="070CC27C" w:rsidR="000C57B5" w:rsidRPr="00685069" w:rsidRDefault="009F6F75" w:rsidP="009F6F75">
            <w:pPr>
              <w:spacing w:after="120"/>
              <w:rPr>
                <w:sz w:val="18"/>
                <w:szCs w:val="18"/>
                <w:lang w:eastAsia="en-GB"/>
              </w:rPr>
            </w:pPr>
            <w:r>
              <w:rPr>
                <w:sz w:val="18"/>
                <w:szCs w:val="18"/>
                <w:lang w:eastAsia="en-GB"/>
              </w:rPr>
              <w:t>The publisher r</w:t>
            </w:r>
            <w:r w:rsidR="000C57B5" w:rsidRPr="00685069">
              <w:rPr>
                <w:sz w:val="18"/>
                <w:szCs w:val="18"/>
                <w:lang w:eastAsia="en-GB"/>
              </w:rPr>
              <w:t>egister</w:t>
            </w:r>
            <w:r>
              <w:rPr>
                <w:sz w:val="18"/>
                <w:szCs w:val="18"/>
                <w:lang w:eastAsia="en-GB"/>
              </w:rPr>
              <w:t>s</w:t>
            </w:r>
            <w:r w:rsidR="000C57B5" w:rsidRPr="00685069">
              <w:rPr>
                <w:sz w:val="18"/>
                <w:szCs w:val="18"/>
                <w:lang w:eastAsia="en-GB"/>
              </w:rPr>
              <w:t xml:space="preserve"> the article’s DOI upon acceptance, and inform</w:t>
            </w:r>
            <w:r w:rsidR="00FF2548">
              <w:rPr>
                <w:sz w:val="18"/>
                <w:szCs w:val="18"/>
                <w:lang w:eastAsia="en-GB"/>
              </w:rPr>
              <w:t>s</w:t>
            </w:r>
            <w:r w:rsidR="000C57B5" w:rsidRPr="00685069">
              <w:rPr>
                <w:sz w:val="18"/>
                <w:szCs w:val="18"/>
                <w:lang w:eastAsia="en-GB"/>
              </w:rPr>
              <w:t xml:space="preserve"> all co-authors.</w:t>
            </w:r>
          </w:p>
        </w:tc>
        <w:tc>
          <w:tcPr>
            <w:tcW w:w="2835" w:type="dxa"/>
            <w:hideMark/>
          </w:tcPr>
          <w:p w14:paraId="2EE5E429" w14:textId="77777777" w:rsidR="000C57B5" w:rsidRPr="00685069" w:rsidRDefault="000C57B5" w:rsidP="00DE27D9">
            <w:pPr>
              <w:spacing w:after="120"/>
              <w:rPr>
                <w:sz w:val="18"/>
                <w:szCs w:val="18"/>
                <w:lang w:eastAsia="en-GB"/>
              </w:rPr>
            </w:pPr>
            <w:r w:rsidRPr="00685069">
              <w:rPr>
                <w:sz w:val="18"/>
                <w:szCs w:val="18"/>
                <w:lang w:eastAsia="en-GB"/>
              </w:rPr>
              <w:t>To enable recording of DOI of AAM deposited upon acceptance, to facilitate deduplication e.g. with later updates from various sources upon publication.</w:t>
            </w:r>
          </w:p>
          <w:p w14:paraId="446ECC4A" w14:textId="77777777" w:rsidR="000C57B5" w:rsidRPr="00685069" w:rsidRDefault="000C57B5" w:rsidP="00DE27D9">
            <w:pPr>
              <w:spacing w:after="120"/>
              <w:rPr>
                <w:sz w:val="18"/>
                <w:szCs w:val="18"/>
                <w:lang w:eastAsia="en-GB"/>
              </w:rPr>
            </w:pPr>
            <w:r w:rsidRPr="00685069">
              <w:rPr>
                <w:sz w:val="18"/>
                <w:szCs w:val="18"/>
                <w:lang w:eastAsia="en-GB"/>
              </w:rPr>
              <w:t>Possible future potential to enable notification of acceptance?</w:t>
            </w:r>
          </w:p>
        </w:tc>
        <w:tc>
          <w:tcPr>
            <w:tcW w:w="3260" w:type="dxa"/>
            <w:hideMark/>
          </w:tcPr>
          <w:p w14:paraId="69A01317" w14:textId="77777777" w:rsidR="000C57B5" w:rsidRPr="00685069" w:rsidRDefault="000C57B5" w:rsidP="00DE27D9">
            <w:pPr>
              <w:spacing w:after="120"/>
              <w:rPr>
                <w:sz w:val="18"/>
                <w:szCs w:val="18"/>
                <w:lang w:eastAsia="en-GB"/>
              </w:rPr>
            </w:pPr>
            <w:r w:rsidRPr="00685069">
              <w:rPr>
                <w:sz w:val="18"/>
                <w:szCs w:val="18"/>
                <w:lang w:eastAsia="en-GB"/>
              </w:rPr>
              <w:t xml:space="preserve">If authors can include a DOI with the AAM they deposit, then the DOI is more likely to feature in the repository metadata and so more likely to </w:t>
            </w:r>
            <w:r w:rsidRPr="00685069">
              <w:rPr>
                <w:b/>
                <w:sz w:val="18"/>
                <w:szCs w:val="18"/>
                <w:lang w:eastAsia="en-GB"/>
              </w:rPr>
              <w:t>drive traffic to the publisher site</w:t>
            </w:r>
            <w:r w:rsidRPr="00685069">
              <w:rPr>
                <w:sz w:val="18"/>
                <w:szCs w:val="18"/>
                <w:lang w:eastAsia="en-GB"/>
              </w:rPr>
              <w:t>.</w:t>
            </w:r>
          </w:p>
          <w:p w14:paraId="3D093BE3" w14:textId="77777777" w:rsidR="000C57B5" w:rsidRPr="00685069" w:rsidRDefault="000C57B5" w:rsidP="00DE27D9">
            <w:pPr>
              <w:spacing w:after="120"/>
              <w:rPr>
                <w:sz w:val="18"/>
                <w:szCs w:val="18"/>
                <w:lang w:eastAsia="en-GB"/>
              </w:rPr>
            </w:pPr>
          </w:p>
        </w:tc>
      </w:tr>
      <w:tr w:rsidR="000C57B5" w:rsidRPr="00C9265C" w14:paraId="509829A9" w14:textId="77777777" w:rsidTr="009F6F75">
        <w:trPr>
          <w:cantSplit/>
          <w:trHeight w:val="1500"/>
        </w:trPr>
        <w:tc>
          <w:tcPr>
            <w:tcW w:w="421" w:type="dxa"/>
            <w:hideMark/>
          </w:tcPr>
          <w:p w14:paraId="310FA473" w14:textId="77777777" w:rsidR="000C57B5" w:rsidRPr="008D0C76"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hideMark/>
          </w:tcPr>
          <w:p w14:paraId="4024A319" w14:textId="5942F57D" w:rsidR="000C57B5" w:rsidRPr="00685069" w:rsidRDefault="000C57B5" w:rsidP="00FF2548">
            <w:pPr>
              <w:spacing w:after="120"/>
              <w:rPr>
                <w:sz w:val="18"/>
                <w:szCs w:val="18"/>
                <w:lang w:eastAsia="en-GB"/>
              </w:rPr>
            </w:pPr>
            <w:r w:rsidRPr="00685069">
              <w:rPr>
                <w:sz w:val="18"/>
                <w:szCs w:val="18"/>
                <w:lang w:eastAsia="en-GB"/>
              </w:rPr>
              <w:t xml:space="preserve">The </w:t>
            </w:r>
            <w:r w:rsidR="00FF2548">
              <w:rPr>
                <w:sz w:val="18"/>
                <w:szCs w:val="18"/>
                <w:lang w:eastAsia="en-GB"/>
              </w:rPr>
              <w:t xml:space="preserve">publisher should ensure that the </w:t>
            </w:r>
            <w:r w:rsidRPr="00685069">
              <w:rPr>
                <w:sz w:val="18"/>
                <w:szCs w:val="18"/>
                <w:lang w:eastAsia="en-GB"/>
              </w:rPr>
              <w:t>acceptance letter</w:t>
            </w:r>
            <w:r w:rsidR="00FF2548">
              <w:rPr>
                <w:sz w:val="18"/>
                <w:szCs w:val="18"/>
                <w:lang w:eastAsia="en-GB"/>
              </w:rPr>
              <w:t xml:space="preserve"> to the author </w:t>
            </w:r>
            <w:r w:rsidRPr="00685069">
              <w:rPr>
                <w:sz w:val="18"/>
                <w:szCs w:val="18"/>
                <w:lang w:eastAsia="en-GB"/>
              </w:rPr>
              <w:t>should include a clear statement on what the author may do with the AAM – that is, the terms under which it may be deposited and made publicly available, including any embargo period and the license that then applies to the AAM. This should include details of how the AAM may be (re-) used.</w:t>
            </w:r>
          </w:p>
        </w:tc>
        <w:tc>
          <w:tcPr>
            <w:tcW w:w="2835" w:type="dxa"/>
            <w:hideMark/>
          </w:tcPr>
          <w:p w14:paraId="5891CF52" w14:textId="77777777" w:rsidR="000C57B5" w:rsidRPr="00685069" w:rsidRDefault="000C57B5" w:rsidP="00DE27D9">
            <w:pPr>
              <w:spacing w:after="120"/>
              <w:rPr>
                <w:sz w:val="18"/>
                <w:szCs w:val="18"/>
                <w:lang w:eastAsia="en-GB"/>
              </w:rPr>
            </w:pPr>
            <w:r w:rsidRPr="00685069">
              <w:rPr>
                <w:sz w:val="18"/>
                <w:szCs w:val="18"/>
                <w:lang w:eastAsia="en-GB"/>
              </w:rPr>
              <w:t xml:space="preserve">Providing this authoritative statement at acceptance will save staff time at the author’s institution in searching for and interpreting any policy on the publisher’s web site, a time-consuming task. </w:t>
            </w:r>
          </w:p>
          <w:p w14:paraId="6CCB6370" w14:textId="77777777" w:rsidR="000C57B5" w:rsidRPr="00685069" w:rsidRDefault="000C57B5" w:rsidP="00DE27D9">
            <w:pPr>
              <w:spacing w:after="120"/>
              <w:rPr>
                <w:sz w:val="18"/>
                <w:szCs w:val="18"/>
                <w:lang w:eastAsia="en-GB"/>
              </w:rPr>
            </w:pPr>
            <w:r w:rsidRPr="00685069">
              <w:rPr>
                <w:sz w:val="18"/>
                <w:szCs w:val="18"/>
                <w:lang w:eastAsia="en-GB"/>
              </w:rPr>
              <w:t>It will also provide clarity for the authors themselves.</w:t>
            </w:r>
          </w:p>
        </w:tc>
        <w:tc>
          <w:tcPr>
            <w:tcW w:w="3260" w:type="dxa"/>
            <w:hideMark/>
          </w:tcPr>
          <w:p w14:paraId="51B2BA0B" w14:textId="77777777" w:rsidR="000C57B5" w:rsidRPr="00685069" w:rsidRDefault="000C57B5" w:rsidP="00DE27D9">
            <w:pPr>
              <w:spacing w:after="120"/>
              <w:rPr>
                <w:rFonts w:ascii="Calibri" w:eastAsia="Times New Roman" w:hAnsi="Calibri" w:cs="Arial"/>
                <w:color w:val="000000"/>
                <w:sz w:val="18"/>
                <w:szCs w:val="18"/>
                <w:lang w:eastAsia="en-GB"/>
              </w:rPr>
            </w:pPr>
            <w:r w:rsidRPr="00685069">
              <w:rPr>
                <w:rFonts w:ascii="Calibri" w:eastAsia="Times New Roman" w:hAnsi="Calibri" w:cs="Arial"/>
                <w:color w:val="000000"/>
                <w:sz w:val="18"/>
                <w:szCs w:val="18"/>
                <w:lang w:eastAsia="en-GB"/>
              </w:rPr>
              <w:t xml:space="preserve">In conjunction with previous point (sending acceptance letter to all authors), helps ensure publisher's policy (on deposit to IRs) is transmitted accurately to all authors, so that any deposit is </w:t>
            </w:r>
            <w:r w:rsidRPr="00685069">
              <w:rPr>
                <w:rFonts w:ascii="Calibri" w:eastAsia="Times New Roman" w:hAnsi="Calibri" w:cs="Arial"/>
                <w:b/>
                <w:color w:val="000000"/>
                <w:sz w:val="18"/>
                <w:szCs w:val="18"/>
                <w:lang w:eastAsia="en-GB"/>
              </w:rPr>
              <w:t>more likely to adhere to publisher's terms.</w:t>
            </w:r>
          </w:p>
        </w:tc>
      </w:tr>
      <w:tr w:rsidR="000C57B5" w:rsidRPr="00C9265C" w14:paraId="79FF2642" w14:textId="77777777" w:rsidTr="009F6F75">
        <w:trPr>
          <w:cantSplit/>
          <w:trHeight w:val="600"/>
        </w:trPr>
        <w:tc>
          <w:tcPr>
            <w:tcW w:w="421" w:type="dxa"/>
            <w:hideMark/>
          </w:tcPr>
          <w:p w14:paraId="78832749"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hideMark/>
          </w:tcPr>
          <w:p w14:paraId="5A871520" w14:textId="2DB6A771" w:rsidR="000C57B5" w:rsidRPr="00685069" w:rsidRDefault="000C57B5" w:rsidP="00FF2548">
            <w:pPr>
              <w:spacing w:after="120"/>
              <w:rPr>
                <w:sz w:val="18"/>
                <w:szCs w:val="18"/>
                <w:lang w:eastAsia="en-GB"/>
              </w:rPr>
            </w:pPr>
            <w:r w:rsidRPr="00685069">
              <w:rPr>
                <w:sz w:val="18"/>
                <w:szCs w:val="18"/>
                <w:lang w:eastAsia="en-GB"/>
              </w:rPr>
              <w:t>The publisher ensure</w:t>
            </w:r>
            <w:r w:rsidR="00FF2548">
              <w:rPr>
                <w:sz w:val="18"/>
                <w:szCs w:val="18"/>
                <w:lang w:eastAsia="en-GB"/>
              </w:rPr>
              <w:t>s</w:t>
            </w:r>
            <w:r w:rsidRPr="00685069">
              <w:rPr>
                <w:sz w:val="18"/>
                <w:szCs w:val="18"/>
                <w:lang w:eastAsia="en-GB"/>
              </w:rPr>
              <w:t xml:space="preserve"> that its embargo periods are no more than those set out in the REF policy.</w:t>
            </w:r>
          </w:p>
        </w:tc>
        <w:tc>
          <w:tcPr>
            <w:tcW w:w="2835" w:type="dxa"/>
            <w:hideMark/>
          </w:tcPr>
          <w:p w14:paraId="0B426557" w14:textId="77777777" w:rsidR="000C57B5" w:rsidRPr="00685069" w:rsidRDefault="000C57B5" w:rsidP="00DE27D9">
            <w:pPr>
              <w:spacing w:after="120"/>
              <w:rPr>
                <w:sz w:val="18"/>
                <w:szCs w:val="18"/>
                <w:lang w:eastAsia="en-GB"/>
              </w:rPr>
            </w:pPr>
            <w:r w:rsidRPr="00685069">
              <w:rPr>
                <w:sz w:val="18"/>
                <w:szCs w:val="18"/>
                <w:lang w:eastAsia="en-GB"/>
              </w:rPr>
              <w:t>To ensure all outputs can comply with REF policy.</w:t>
            </w:r>
          </w:p>
        </w:tc>
        <w:tc>
          <w:tcPr>
            <w:tcW w:w="3260" w:type="dxa"/>
            <w:hideMark/>
          </w:tcPr>
          <w:p w14:paraId="0D365FA0" w14:textId="77777777" w:rsidR="000C57B5" w:rsidRPr="00685069" w:rsidRDefault="000C57B5" w:rsidP="00DE27D9">
            <w:pPr>
              <w:spacing w:after="120"/>
              <w:rPr>
                <w:sz w:val="18"/>
                <w:szCs w:val="18"/>
                <w:lang w:eastAsia="en-GB"/>
              </w:rPr>
            </w:pPr>
            <w:r w:rsidRPr="00685069">
              <w:rPr>
                <w:sz w:val="18"/>
                <w:szCs w:val="18"/>
                <w:lang w:eastAsia="en-GB"/>
              </w:rPr>
              <w:t xml:space="preserve">The </w:t>
            </w:r>
            <w:r w:rsidRPr="00685069">
              <w:rPr>
                <w:b/>
                <w:sz w:val="18"/>
                <w:szCs w:val="18"/>
                <w:lang w:eastAsia="en-GB"/>
              </w:rPr>
              <w:t>best UK authors are more likely to submit</w:t>
            </w:r>
            <w:r w:rsidRPr="00685069">
              <w:rPr>
                <w:sz w:val="18"/>
                <w:szCs w:val="18"/>
                <w:lang w:eastAsia="en-GB"/>
              </w:rPr>
              <w:t xml:space="preserve"> their best (and therefore most citable) papers if they can be sure they can comply with the REF stipulations, and so be eligible for submission to the next REF.</w:t>
            </w:r>
          </w:p>
        </w:tc>
      </w:tr>
      <w:tr w:rsidR="000C57B5" w:rsidRPr="00C9265C" w14:paraId="6200652C" w14:textId="77777777" w:rsidTr="009F6F75">
        <w:trPr>
          <w:cantSplit/>
          <w:trHeight w:val="2400"/>
        </w:trPr>
        <w:tc>
          <w:tcPr>
            <w:tcW w:w="421" w:type="dxa"/>
            <w:hideMark/>
          </w:tcPr>
          <w:p w14:paraId="4C6BA777"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hideMark/>
          </w:tcPr>
          <w:p w14:paraId="590452E0" w14:textId="69875F45" w:rsidR="000C57B5" w:rsidRPr="00685069" w:rsidRDefault="00FF2548" w:rsidP="00DE27D9">
            <w:pPr>
              <w:spacing w:after="120"/>
              <w:rPr>
                <w:sz w:val="18"/>
                <w:szCs w:val="18"/>
                <w:lang w:eastAsia="en-GB"/>
              </w:rPr>
            </w:pPr>
            <w:r>
              <w:rPr>
                <w:sz w:val="18"/>
                <w:szCs w:val="18"/>
                <w:lang w:eastAsia="en-GB"/>
              </w:rPr>
              <w:t>The publisher should ensure c</w:t>
            </w:r>
            <w:r w:rsidR="000C57B5" w:rsidRPr="00685069">
              <w:rPr>
                <w:sz w:val="18"/>
                <w:szCs w:val="18"/>
                <w:lang w:eastAsia="en-GB"/>
              </w:rPr>
              <w:t xml:space="preserve">larity of overall licensing/policy position (at the journal level) for each version (AM, </w:t>
            </w:r>
            <w:proofErr w:type="spellStart"/>
            <w:r w:rsidR="000C57B5" w:rsidRPr="00685069">
              <w:rPr>
                <w:sz w:val="18"/>
                <w:szCs w:val="18"/>
                <w:lang w:eastAsia="en-GB"/>
              </w:rPr>
              <w:t>VoR</w:t>
            </w:r>
            <w:proofErr w:type="spellEnd"/>
            <w:r w:rsidR="000C57B5" w:rsidRPr="00685069">
              <w:rPr>
                <w:sz w:val="18"/>
                <w:szCs w:val="18"/>
                <w:lang w:eastAsia="en-GB"/>
              </w:rPr>
              <w:t>…) including any embargos for each.</w:t>
            </w:r>
          </w:p>
          <w:p w14:paraId="15EC42A1" w14:textId="77777777" w:rsidR="000C57B5" w:rsidRPr="00685069" w:rsidRDefault="000C57B5" w:rsidP="00DE27D9">
            <w:pPr>
              <w:spacing w:after="120"/>
              <w:rPr>
                <w:sz w:val="18"/>
                <w:szCs w:val="18"/>
                <w:lang w:eastAsia="en-GB"/>
              </w:rPr>
            </w:pPr>
            <w:r w:rsidRPr="00685069">
              <w:rPr>
                <w:sz w:val="18"/>
                <w:szCs w:val="18"/>
                <w:lang w:eastAsia="en-GB"/>
              </w:rPr>
              <w:t xml:space="preserve">Use of standard terminology/ definitions in publisher policies/ licences. </w:t>
            </w:r>
          </w:p>
          <w:p w14:paraId="23C4D981" w14:textId="77777777" w:rsidR="000C57B5" w:rsidRPr="00685069" w:rsidRDefault="000C57B5" w:rsidP="00DE27D9">
            <w:pPr>
              <w:spacing w:after="120"/>
              <w:rPr>
                <w:sz w:val="18"/>
                <w:szCs w:val="18"/>
                <w:lang w:eastAsia="en-GB"/>
              </w:rPr>
            </w:pPr>
            <w:r w:rsidRPr="00685069">
              <w:rPr>
                <w:sz w:val="18"/>
                <w:szCs w:val="18"/>
                <w:lang w:eastAsia="en-GB"/>
              </w:rPr>
              <w:t>Ultimately working towards a standard schema/ DTD for expressing machine-read</w:t>
            </w:r>
            <w:r>
              <w:rPr>
                <w:sz w:val="18"/>
                <w:szCs w:val="18"/>
                <w:lang w:eastAsia="en-GB"/>
              </w:rPr>
              <w:t xml:space="preserve"> </w:t>
            </w:r>
            <w:r w:rsidRPr="00685069">
              <w:rPr>
                <w:sz w:val="18"/>
                <w:szCs w:val="18"/>
                <w:lang w:eastAsia="en-GB"/>
              </w:rPr>
              <w:t>able licences/ policies.</w:t>
            </w:r>
          </w:p>
        </w:tc>
        <w:tc>
          <w:tcPr>
            <w:tcW w:w="2835" w:type="dxa"/>
            <w:hideMark/>
          </w:tcPr>
          <w:p w14:paraId="51D8FA7C" w14:textId="77777777" w:rsidR="000C57B5" w:rsidRPr="00685069" w:rsidRDefault="000C57B5" w:rsidP="00DE27D9">
            <w:pPr>
              <w:spacing w:after="120"/>
              <w:rPr>
                <w:sz w:val="18"/>
                <w:szCs w:val="18"/>
                <w:lang w:eastAsia="en-GB"/>
              </w:rPr>
            </w:pPr>
            <w:r w:rsidRPr="00685069">
              <w:rPr>
                <w:sz w:val="18"/>
                <w:szCs w:val="18"/>
                <w:lang w:eastAsia="en-GB"/>
              </w:rPr>
              <w:t>To enable authors to make informed choice of journal based on what journals permit.</w:t>
            </w:r>
          </w:p>
          <w:p w14:paraId="0C0E51F9" w14:textId="77777777" w:rsidR="000C57B5" w:rsidRPr="00685069" w:rsidRDefault="000C57B5" w:rsidP="00DE27D9">
            <w:pPr>
              <w:spacing w:after="120"/>
              <w:rPr>
                <w:sz w:val="18"/>
                <w:szCs w:val="18"/>
                <w:lang w:eastAsia="en-GB"/>
              </w:rPr>
            </w:pPr>
            <w:r w:rsidRPr="00685069">
              <w:rPr>
                <w:sz w:val="18"/>
                <w:szCs w:val="18"/>
                <w:lang w:eastAsia="en-GB"/>
              </w:rPr>
              <w:t xml:space="preserve">To enable repository staff &amp; Sherpa </w:t>
            </w:r>
            <w:proofErr w:type="spellStart"/>
            <w:r w:rsidRPr="00685069">
              <w:rPr>
                <w:sz w:val="18"/>
                <w:szCs w:val="18"/>
                <w:lang w:eastAsia="en-GB"/>
              </w:rPr>
              <w:t>RoMEO</w:t>
            </w:r>
            <w:proofErr w:type="spellEnd"/>
            <w:r w:rsidRPr="00685069">
              <w:rPr>
                <w:sz w:val="18"/>
                <w:szCs w:val="18"/>
                <w:lang w:eastAsia="en-GB"/>
              </w:rPr>
              <w:t xml:space="preserve"> to give informed advice about whether a given journal complies with a given funder's requirements, and to do so with maximum efficiency and accuracy.</w:t>
            </w:r>
          </w:p>
        </w:tc>
        <w:tc>
          <w:tcPr>
            <w:tcW w:w="3260" w:type="dxa"/>
            <w:hideMark/>
          </w:tcPr>
          <w:p w14:paraId="1C6B78A7" w14:textId="77777777" w:rsidR="000C57B5" w:rsidRPr="00685069" w:rsidRDefault="000C57B5" w:rsidP="00DE27D9">
            <w:pPr>
              <w:spacing w:after="120"/>
              <w:rPr>
                <w:sz w:val="18"/>
                <w:szCs w:val="18"/>
                <w:lang w:eastAsia="en-GB"/>
              </w:rPr>
            </w:pPr>
            <w:r w:rsidRPr="00685069">
              <w:rPr>
                <w:sz w:val="18"/>
                <w:szCs w:val="18"/>
                <w:lang w:eastAsia="en-GB"/>
              </w:rPr>
              <w:t xml:space="preserve">Helps ensure any deposit and release on repositories adheres to publisher's terms. </w:t>
            </w:r>
            <w:r w:rsidRPr="00685069">
              <w:rPr>
                <w:b/>
                <w:sz w:val="18"/>
                <w:szCs w:val="18"/>
                <w:lang w:eastAsia="en-GB"/>
              </w:rPr>
              <w:t>Minimizes any threat to publisher's business</w:t>
            </w:r>
            <w:r w:rsidRPr="00685069">
              <w:rPr>
                <w:sz w:val="18"/>
                <w:szCs w:val="18"/>
                <w:lang w:eastAsia="en-GB"/>
              </w:rPr>
              <w:t xml:space="preserve"> from Green OA.</w:t>
            </w:r>
          </w:p>
        </w:tc>
      </w:tr>
      <w:tr w:rsidR="000C57B5" w:rsidRPr="00C9265C" w14:paraId="5A17A0F3" w14:textId="77777777" w:rsidTr="009F6F75">
        <w:trPr>
          <w:cantSplit/>
          <w:trHeight w:val="3300"/>
        </w:trPr>
        <w:tc>
          <w:tcPr>
            <w:tcW w:w="421" w:type="dxa"/>
            <w:hideMark/>
          </w:tcPr>
          <w:p w14:paraId="44364644"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lastRenderedPageBreak/>
              <w:t> </w:t>
            </w:r>
          </w:p>
        </w:tc>
        <w:tc>
          <w:tcPr>
            <w:tcW w:w="3402" w:type="dxa"/>
            <w:hideMark/>
          </w:tcPr>
          <w:p w14:paraId="71326D26" w14:textId="3DC3B9EF" w:rsidR="000C57B5" w:rsidRPr="00685069" w:rsidRDefault="00FF2548" w:rsidP="00DE27D9">
            <w:pPr>
              <w:spacing w:after="120"/>
              <w:rPr>
                <w:sz w:val="18"/>
                <w:szCs w:val="18"/>
                <w:lang w:eastAsia="en-GB"/>
              </w:rPr>
            </w:pPr>
            <w:r>
              <w:rPr>
                <w:sz w:val="18"/>
                <w:szCs w:val="18"/>
                <w:lang w:eastAsia="en-GB"/>
              </w:rPr>
              <w:t>The publisher should ensure c</w:t>
            </w:r>
            <w:r w:rsidR="000C57B5" w:rsidRPr="00685069">
              <w:rPr>
                <w:sz w:val="18"/>
                <w:szCs w:val="18"/>
                <w:lang w:eastAsia="en-GB"/>
              </w:rPr>
              <w:t xml:space="preserve">larity of licensing terms at the article level </w:t>
            </w:r>
          </w:p>
          <w:p w14:paraId="369251D4" w14:textId="77777777" w:rsidR="000C57B5" w:rsidRPr="00685069" w:rsidRDefault="000C57B5" w:rsidP="000C57B5">
            <w:pPr>
              <w:pStyle w:val="ListParagraph"/>
              <w:numPr>
                <w:ilvl w:val="0"/>
                <w:numId w:val="23"/>
              </w:numPr>
              <w:suppressAutoHyphens w:val="0"/>
              <w:autoSpaceDN/>
              <w:spacing w:after="120" w:line="240" w:lineRule="auto"/>
              <w:contextualSpacing/>
              <w:textAlignment w:val="auto"/>
              <w:rPr>
                <w:sz w:val="18"/>
                <w:szCs w:val="18"/>
                <w:lang w:eastAsia="en-GB"/>
              </w:rPr>
            </w:pPr>
            <w:r w:rsidRPr="00685069">
              <w:rPr>
                <w:sz w:val="18"/>
                <w:szCs w:val="18"/>
                <w:lang w:eastAsia="en-GB"/>
              </w:rPr>
              <w:t>Clear visible statement/link on article (especially OA ones)</w:t>
            </w:r>
          </w:p>
          <w:p w14:paraId="2659F1C8" w14:textId="77777777" w:rsidR="000C57B5" w:rsidRPr="00685069" w:rsidRDefault="000C57B5" w:rsidP="000C57B5">
            <w:pPr>
              <w:pStyle w:val="ListParagraph"/>
              <w:numPr>
                <w:ilvl w:val="0"/>
                <w:numId w:val="23"/>
              </w:numPr>
              <w:suppressAutoHyphens w:val="0"/>
              <w:autoSpaceDN/>
              <w:spacing w:after="120" w:line="240" w:lineRule="auto"/>
              <w:contextualSpacing/>
              <w:textAlignment w:val="auto"/>
              <w:rPr>
                <w:sz w:val="18"/>
                <w:szCs w:val="18"/>
                <w:lang w:eastAsia="en-GB"/>
              </w:rPr>
            </w:pPr>
            <w:r w:rsidRPr="00685069">
              <w:rPr>
                <w:sz w:val="18"/>
                <w:szCs w:val="18"/>
                <w:lang w:eastAsia="en-GB"/>
              </w:rPr>
              <w:t>Standard (</w:t>
            </w:r>
            <w:proofErr w:type="spellStart"/>
            <w:r w:rsidRPr="00685069">
              <w:rPr>
                <w:sz w:val="18"/>
                <w:szCs w:val="18"/>
                <w:lang w:eastAsia="en-GB"/>
              </w:rPr>
              <w:t>LicenseRef</w:t>
            </w:r>
            <w:proofErr w:type="spellEnd"/>
            <w:r w:rsidRPr="00685069">
              <w:rPr>
                <w:sz w:val="18"/>
                <w:szCs w:val="18"/>
                <w:lang w:eastAsia="en-GB"/>
              </w:rPr>
              <w:t xml:space="preserve">) metadata in article XML (and other files where possible?) </w:t>
            </w:r>
          </w:p>
          <w:p w14:paraId="639D4F3C" w14:textId="77777777" w:rsidR="000C57B5" w:rsidRPr="00685069" w:rsidRDefault="000C57B5" w:rsidP="000C57B5">
            <w:pPr>
              <w:pStyle w:val="ListParagraph"/>
              <w:numPr>
                <w:ilvl w:val="0"/>
                <w:numId w:val="23"/>
              </w:numPr>
              <w:suppressAutoHyphens w:val="0"/>
              <w:autoSpaceDN/>
              <w:spacing w:after="120" w:line="240" w:lineRule="auto"/>
              <w:contextualSpacing/>
              <w:textAlignment w:val="auto"/>
              <w:rPr>
                <w:sz w:val="18"/>
                <w:szCs w:val="18"/>
                <w:lang w:eastAsia="en-GB"/>
              </w:rPr>
            </w:pPr>
            <w:r w:rsidRPr="00685069">
              <w:rPr>
                <w:sz w:val="18"/>
                <w:szCs w:val="18"/>
                <w:lang w:eastAsia="en-GB"/>
              </w:rPr>
              <w:t xml:space="preserve">Populate License-ref metadata on publisher site and on </w:t>
            </w:r>
            <w:proofErr w:type="spellStart"/>
            <w:r w:rsidRPr="00685069">
              <w:rPr>
                <w:sz w:val="18"/>
                <w:szCs w:val="18"/>
                <w:lang w:eastAsia="en-GB"/>
              </w:rPr>
              <w:t>CrossRef</w:t>
            </w:r>
            <w:proofErr w:type="spellEnd"/>
            <w:r w:rsidRPr="00685069">
              <w:rPr>
                <w:sz w:val="18"/>
                <w:szCs w:val="18"/>
                <w:lang w:eastAsia="en-GB"/>
              </w:rPr>
              <w:t>.</w:t>
            </w:r>
          </w:p>
          <w:p w14:paraId="24F598E0" w14:textId="77777777" w:rsidR="000C57B5" w:rsidRPr="00685069" w:rsidRDefault="000C57B5" w:rsidP="00DE27D9">
            <w:pPr>
              <w:spacing w:after="120"/>
              <w:rPr>
                <w:sz w:val="18"/>
                <w:szCs w:val="18"/>
                <w:lang w:eastAsia="en-GB"/>
              </w:rPr>
            </w:pPr>
            <w:r w:rsidRPr="00685069">
              <w:rPr>
                <w:sz w:val="18"/>
                <w:szCs w:val="18"/>
                <w:lang w:eastAsia="en-GB"/>
              </w:rPr>
              <w:t xml:space="preserve">The above should include clear identification/ labelling of which articles are OA – on TOC, landing page (e.g. abstract page) and on all manifestations of the full text. Also clear statement of </w:t>
            </w:r>
            <w:r w:rsidRPr="00685069">
              <w:rPr>
                <w:i/>
                <w:sz w:val="18"/>
                <w:szCs w:val="18"/>
                <w:lang w:eastAsia="en-GB"/>
              </w:rPr>
              <w:t xml:space="preserve">date </w:t>
            </w:r>
            <w:r w:rsidRPr="00685069">
              <w:rPr>
                <w:sz w:val="18"/>
                <w:szCs w:val="18"/>
                <w:lang w:eastAsia="en-GB"/>
              </w:rPr>
              <w:t>on which the article was available under OA terms.</w:t>
            </w:r>
          </w:p>
          <w:p w14:paraId="7CF68850" w14:textId="77777777" w:rsidR="000C57B5" w:rsidRPr="00685069" w:rsidRDefault="000C57B5" w:rsidP="00DE27D9">
            <w:pPr>
              <w:spacing w:after="120"/>
              <w:rPr>
                <w:sz w:val="18"/>
                <w:szCs w:val="18"/>
                <w:lang w:eastAsia="en-GB"/>
              </w:rPr>
            </w:pPr>
            <w:r w:rsidRPr="00685069">
              <w:rPr>
                <w:sz w:val="18"/>
                <w:szCs w:val="18"/>
                <w:lang w:eastAsia="en-GB"/>
              </w:rPr>
              <w:t xml:space="preserve">(Note: NISO </w:t>
            </w:r>
            <w:r>
              <w:rPr>
                <w:sz w:val="18"/>
                <w:szCs w:val="18"/>
                <w:lang w:eastAsia="en-GB"/>
              </w:rPr>
              <w:t>has now published</w:t>
            </w:r>
            <w:r w:rsidRPr="00685069">
              <w:rPr>
                <w:sz w:val="18"/>
                <w:szCs w:val="18"/>
                <w:lang w:eastAsia="en-GB"/>
              </w:rPr>
              <w:t xml:space="preserve"> its final Recommended Practice on ac</w:t>
            </w:r>
            <w:r>
              <w:rPr>
                <w:sz w:val="18"/>
                <w:szCs w:val="18"/>
                <w:lang w:eastAsia="en-GB"/>
              </w:rPr>
              <w:t>cess and licensing indicators</w:t>
            </w:r>
            <w:r w:rsidRPr="00685069">
              <w:rPr>
                <w:sz w:val="18"/>
                <w:szCs w:val="18"/>
                <w:lang w:eastAsia="en-GB"/>
              </w:rPr>
              <w:t xml:space="preserve"> – see </w:t>
            </w:r>
            <w:hyperlink r:id="rId8" w:history="1">
              <w:r w:rsidRPr="00685069">
                <w:rPr>
                  <w:rStyle w:val="Hyperlink"/>
                  <w:sz w:val="18"/>
                  <w:szCs w:val="18"/>
                  <w:lang w:eastAsia="en-GB"/>
                </w:rPr>
                <w:t>http://www.niso.org/workrooms/ali/</w:t>
              </w:r>
            </w:hyperlink>
            <w:r w:rsidRPr="00685069">
              <w:rPr>
                <w:sz w:val="18"/>
                <w:szCs w:val="18"/>
                <w:lang w:eastAsia="en-GB"/>
              </w:rPr>
              <w:t>. We urge publishers to incorporate these fields into their DTDs, and populate them at the article and version level.)</w:t>
            </w:r>
          </w:p>
        </w:tc>
        <w:tc>
          <w:tcPr>
            <w:tcW w:w="2835" w:type="dxa"/>
            <w:hideMark/>
          </w:tcPr>
          <w:p w14:paraId="18D85515" w14:textId="77777777" w:rsidR="000C57B5" w:rsidRPr="00685069" w:rsidRDefault="000C57B5" w:rsidP="00DE27D9">
            <w:pPr>
              <w:spacing w:after="120"/>
              <w:rPr>
                <w:sz w:val="18"/>
                <w:szCs w:val="18"/>
                <w:lang w:eastAsia="en-GB"/>
              </w:rPr>
            </w:pPr>
            <w:r w:rsidRPr="00685069">
              <w:rPr>
                <w:sz w:val="18"/>
                <w:szCs w:val="18"/>
                <w:lang w:eastAsia="en-GB"/>
              </w:rPr>
              <w:t>To enable readers/ users to understand what they may do with a given article.</w:t>
            </w:r>
          </w:p>
          <w:p w14:paraId="3E44CF62" w14:textId="77777777" w:rsidR="000C57B5" w:rsidRPr="00685069" w:rsidRDefault="000C57B5" w:rsidP="00DE27D9">
            <w:pPr>
              <w:spacing w:after="120"/>
              <w:rPr>
                <w:sz w:val="18"/>
                <w:szCs w:val="18"/>
                <w:lang w:eastAsia="en-GB"/>
              </w:rPr>
            </w:pPr>
            <w:r w:rsidRPr="00685069">
              <w:rPr>
                <w:sz w:val="18"/>
                <w:szCs w:val="18"/>
                <w:lang w:eastAsia="en-GB"/>
              </w:rPr>
              <w:t>To enable repository staff and related services to act upon the correct licensing terms, and to move towards automation of this, to minimize the need for manual searches and other intervention.</w:t>
            </w:r>
          </w:p>
          <w:p w14:paraId="70D4CAC0" w14:textId="77777777" w:rsidR="000C57B5" w:rsidRPr="00685069" w:rsidRDefault="000C57B5" w:rsidP="00DE27D9">
            <w:pPr>
              <w:spacing w:after="120"/>
              <w:rPr>
                <w:sz w:val="18"/>
                <w:szCs w:val="18"/>
                <w:lang w:eastAsia="en-GB"/>
              </w:rPr>
            </w:pPr>
            <w:r w:rsidRPr="00685069">
              <w:rPr>
                <w:sz w:val="18"/>
                <w:szCs w:val="18"/>
                <w:lang w:eastAsia="en-GB"/>
              </w:rPr>
              <w:t>To move towards machine-readable embargo end-dates that can be acted upon automatically by repositories.</w:t>
            </w:r>
          </w:p>
          <w:p w14:paraId="2E731406" w14:textId="77777777" w:rsidR="000C57B5" w:rsidRPr="00685069" w:rsidRDefault="000C57B5" w:rsidP="00DE27D9">
            <w:pPr>
              <w:spacing w:after="120"/>
              <w:rPr>
                <w:sz w:val="18"/>
                <w:szCs w:val="18"/>
                <w:lang w:eastAsia="en-GB"/>
              </w:rPr>
            </w:pPr>
            <w:r w:rsidRPr="00685069">
              <w:rPr>
                <w:sz w:val="18"/>
                <w:szCs w:val="18"/>
                <w:lang w:eastAsia="en-GB"/>
              </w:rPr>
              <w:t xml:space="preserve">To facilitate tracking of OA compliance, and whether </w:t>
            </w:r>
            <w:proofErr w:type="gramStart"/>
            <w:r w:rsidRPr="00685069">
              <w:rPr>
                <w:sz w:val="18"/>
                <w:szCs w:val="18"/>
                <w:lang w:eastAsia="en-GB"/>
              </w:rPr>
              <w:t>promised OA publishing terms</w:t>
            </w:r>
            <w:proofErr w:type="gramEnd"/>
            <w:r w:rsidRPr="00685069">
              <w:rPr>
                <w:sz w:val="18"/>
                <w:szCs w:val="18"/>
                <w:lang w:eastAsia="en-GB"/>
              </w:rPr>
              <w:t xml:space="preserve"> have been fulfilled. </w:t>
            </w:r>
          </w:p>
        </w:tc>
        <w:tc>
          <w:tcPr>
            <w:tcW w:w="3260" w:type="dxa"/>
            <w:hideMark/>
          </w:tcPr>
          <w:p w14:paraId="0FD3EFCB" w14:textId="77777777" w:rsidR="000C57B5" w:rsidRPr="00685069" w:rsidRDefault="000C57B5" w:rsidP="00DE27D9">
            <w:pPr>
              <w:spacing w:after="120"/>
              <w:rPr>
                <w:sz w:val="18"/>
                <w:szCs w:val="18"/>
                <w:lang w:eastAsia="en-GB"/>
              </w:rPr>
            </w:pPr>
            <w:r w:rsidRPr="00685069">
              <w:rPr>
                <w:sz w:val="18"/>
                <w:szCs w:val="18"/>
                <w:lang w:eastAsia="en-GB"/>
              </w:rPr>
              <w:t xml:space="preserve">Helps </w:t>
            </w:r>
            <w:r w:rsidRPr="00685069">
              <w:rPr>
                <w:b/>
                <w:sz w:val="18"/>
                <w:szCs w:val="18"/>
                <w:lang w:eastAsia="en-GB"/>
              </w:rPr>
              <w:t>ensure any use</w:t>
            </w:r>
            <w:r w:rsidRPr="00685069">
              <w:rPr>
                <w:sz w:val="18"/>
                <w:szCs w:val="18"/>
                <w:lang w:eastAsia="en-GB"/>
              </w:rPr>
              <w:t xml:space="preserve"> of publisher’s content </w:t>
            </w:r>
            <w:r w:rsidRPr="00685069">
              <w:rPr>
                <w:b/>
                <w:sz w:val="18"/>
                <w:szCs w:val="18"/>
                <w:lang w:eastAsia="en-GB"/>
              </w:rPr>
              <w:t>adheres to publisher's terms</w:t>
            </w:r>
            <w:r w:rsidRPr="00685069">
              <w:rPr>
                <w:sz w:val="18"/>
                <w:szCs w:val="18"/>
                <w:lang w:eastAsia="en-GB"/>
              </w:rPr>
              <w:t xml:space="preserve">, including deposit and release on repositories, text &amp; data mining etc. Minimizes any threat to publisher's business from these activities. </w:t>
            </w:r>
          </w:p>
          <w:p w14:paraId="50A2E868" w14:textId="77777777" w:rsidR="000C57B5" w:rsidRPr="00685069" w:rsidRDefault="000C57B5" w:rsidP="00DE27D9">
            <w:pPr>
              <w:spacing w:after="120"/>
              <w:rPr>
                <w:sz w:val="18"/>
                <w:szCs w:val="18"/>
                <w:lang w:eastAsia="en-GB"/>
              </w:rPr>
            </w:pPr>
            <w:r w:rsidRPr="00685069">
              <w:rPr>
                <w:sz w:val="18"/>
                <w:szCs w:val="18"/>
                <w:lang w:eastAsia="en-GB"/>
              </w:rPr>
              <w:t xml:space="preserve">Increasing numbers of research funders are requiring this in papers that report research they have funded. </w:t>
            </w:r>
            <w:r w:rsidRPr="00685069">
              <w:rPr>
                <w:b/>
                <w:sz w:val="18"/>
                <w:szCs w:val="18"/>
                <w:lang w:eastAsia="en-GB"/>
              </w:rPr>
              <w:t>Authors are more likely to choose journal</w:t>
            </w:r>
            <w:r w:rsidRPr="00685069">
              <w:rPr>
                <w:sz w:val="18"/>
                <w:szCs w:val="18"/>
                <w:lang w:eastAsia="en-GB"/>
              </w:rPr>
              <w:t xml:space="preserve"> if they can be sure their outputs will comply with their funder's conditions, thereby avoiding sanctions such as threats to further funding. </w:t>
            </w:r>
          </w:p>
          <w:p w14:paraId="14BAB753" w14:textId="77777777" w:rsidR="000C57B5" w:rsidRPr="00685069" w:rsidRDefault="000C57B5" w:rsidP="00DE27D9">
            <w:pPr>
              <w:spacing w:after="120"/>
              <w:rPr>
                <w:sz w:val="18"/>
                <w:szCs w:val="18"/>
                <w:lang w:eastAsia="en-GB"/>
              </w:rPr>
            </w:pPr>
            <w:r w:rsidRPr="00685069">
              <w:rPr>
                <w:sz w:val="18"/>
                <w:szCs w:val="18"/>
                <w:lang w:eastAsia="en-GB"/>
              </w:rPr>
              <w:t xml:space="preserve">OA articles </w:t>
            </w:r>
            <w:r w:rsidRPr="00685069">
              <w:rPr>
                <w:b/>
                <w:sz w:val="18"/>
                <w:szCs w:val="18"/>
                <w:lang w:eastAsia="en-GB"/>
              </w:rPr>
              <w:t>more likely to be used and cited</w:t>
            </w:r>
            <w:r w:rsidRPr="00685069">
              <w:rPr>
                <w:sz w:val="18"/>
                <w:szCs w:val="18"/>
                <w:lang w:eastAsia="en-GB"/>
              </w:rPr>
              <w:t xml:space="preserve"> if they are readily discoverable (e.g. at institutions that do not subscribe to hybrid journal); discovery services more likely to include in search results for non-subscribers if identified as OA at article level in machine-readable way.</w:t>
            </w:r>
          </w:p>
        </w:tc>
      </w:tr>
      <w:tr w:rsidR="000C57B5" w:rsidRPr="00C9265C" w14:paraId="41B5F510" w14:textId="77777777" w:rsidTr="009F6F75">
        <w:trPr>
          <w:cantSplit/>
          <w:trHeight w:val="900"/>
        </w:trPr>
        <w:tc>
          <w:tcPr>
            <w:tcW w:w="421" w:type="dxa"/>
            <w:noWrap/>
            <w:hideMark/>
          </w:tcPr>
          <w:p w14:paraId="57867426"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noWrap/>
            <w:hideMark/>
          </w:tcPr>
          <w:p w14:paraId="5C22C8E5" w14:textId="491C7F58" w:rsidR="000C57B5" w:rsidRPr="00685069" w:rsidRDefault="00FF2548" w:rsidP="00DE27D9">
            <w:pPr>
              <w:spacing w:after="120"/>
              <w:rPr>
                <w:sz w:val="18"/>
                <w:szCs w:val="18"/>
                <w:lang w:eastAsia="en-GB"/>
              </w:rPr>
            </w:pPr>
            <w:r>
              <w:rPr>
                <w:sz w:val="18"/>
                <w:szCs w:val="18"/>
                <w:lang w:eastAsia="en-GB"/>
              </w:rPr>
              <w:t>The publisher should p</w:t>
            </w:r>
            <w:r w:rsidR="000C57B5" w:rsidRPr="00685069">
              <w:rPr>
                <w:sz w:val="18"/>
                <w:szCs w:val="18"/>
                <w:lang w:eastAsia="en-GB"/>
              </w:rPr>
              <w:t>ass on key dates (notably acceptance) in metadata.</w:t>
            </w:r>
          </w:p>
          <w:p w14:paraId="3D81D308" w14:textId="77777777" w:rsidR="000C57B5" w:rsidRPr="00685069" w:rsidRDefault="000C57B5" w:rsidP="00DE27D9">
            <w:pPr>
              <w:spacing w:after="120"/>
              <w:rPr>
                <w:sz w:val="18"/>
                <w:szCs w:val="18"/>
                <w:lang w:eastAsia="en-GB"/>
              </w:rPr>
            </w:pPr>
            <w:r w:rsidRPr="00685069">
              <w:rPr>
                <w:sz w:val="18"/>
                <w:szCs w:val="18"/>
                <w:lang w:eastAsia="en-GB"/>
              </w:rPr>
              <w:t>Policy on OA &amp; the REF requires the following:</w:t>
            </w:r>
          </w:p>
          <w:p w14:paraId="3889AB94" w14:textId="77777777" w:rsidR="000C57B5" w:rsidRPr="00685069" w:rsidRDefault="000C57B5" w:rsidP="000C57B5">
            <w:pPr>
              <w:pStyle w:val="ListParagraph"/>
              <w:numPr>
                <w:ilvl w:val="0"/>
                <w:numId w:val="25"/>
              </w:numPr>
              <w:suppressAutoHyphens w:val="0"/>
              <w:autoSpaceDN/>
              <w:spacing w:after="120" w:line="240" w:lineRule="auto"/>
              <w:contextualSpacing/>
              <w:textAlignment w:val="auto"/>
              <w:rPr>
                <w:sz w:val="18"/>
                <w:szCs w:val="18"/>
                <w:lang w:eastAsia="en-GB"/>
              </w:rPr>
            </w:pPr>
            <w:r w:rsidRPr="00685069">
              <w:rPr>
                <w:sz w:val="18"/>
                <w:szCs w:val="18"/>
                <w:lang w:eastAsia="en-GB"/>
              </w:rPr>
              <w:t>Date of final acceptance as notified to the author</w:t>
            </w:r>
          </w:p>
          <w:p w14:paraId="14882628" w14:textId="77777777" w:rsidR="000C57B5" w:rsidRPr="00685069" w:rsidRDefault="000C57B5" w:rsidP="000C57B5">
            <w:pPr>
              <w:pStyle w:val="ListParagraph"/>
              <w:numPr>
                <w:ilvl w:val="0"/>
                <w:numId w:val="25"/>
              </w:numPr>
              <w:suppressAutoHyphens w:val="0"/>
              <w:autoSpaceDN/>
              <w:spacing w:after="120" w:line="240" w:lineRule="auto"/>
              <w:contextualSpacing/>
              <w:textAlignment w:val="auto"/>
              <w:rPr>
                <w:sz w:val="18"/>
                <w:szCs w:val="18"/>
                <w:lang w:eastAsia="en-GB"/>
              </w:rPr>
            </w:pPr>
            <w:r w:rsidRPr="00685069">
              <w:rPr>
                <w:sz w:val="18"/>
                <w:szCs w:val="18"/>
                <w:lang w:eastAsia="en-GB"/>
              </w:rPr>
              <w:t>Date of publication</w:t>
            </w:r>
          </w:p>
          <w:p w14:paraId="462C9AC2" w14:textId="77777777" w:rsidR="000C57B5" w:rsidRPr="00685069" w:rsidRDefault="000C57B5" w:rsidP="000C57B5">
            <w:pPr>
              <w:pStyle w:val="ListParagraph"/>
              <w:numPr>
                <w:ilvl w:val="0"/>
                <w:numId w:val="25"/>
              </w:numPr>
              <w:suppressAutoHyphens w:val="0"/>
              <w:autoSpaceDN/>
              <w:spacing w:after="120" w:line="240" w:lineRule="auto"/>
              <w:contextualSpacing/>
              <w:textAlignment w:val="auto"/>
              <w:rPr>
                <w:sz w:val="18"/>
                <w:szCs w:val="18"/>
                <w:lang w:eastAsia="en-GB"/>
              </w:rPr>
            </w:pPr>
            <w:r w:rsidRPr="00685069">
              <w:rPr>
                <w:sz w:val="18"/>
                <w:szCs w:val="18"/>
                <w:lang w:eastAsia="en-GB"/>
              </w:rPr>
              <w:t>Start and end dates of any embargo period.</w:t>
            </w:r>
          </w:p>
        </w:tc>
        <w:tc>
          <w:tcPr>
            <w:tcW w:w="2835" w:type="dxa"/>
            <w:hideMark/>
          </w:tcPr>
          <w:p w14:paraId="3839D03B" w14:textId="77777777" w:rsidR="000C57B5" w:rsidRPr="00685069" w:rsidRDefault="000C57B5" w:rsidP="00DE27D9">
            <w:pPr>
              <w:spacing w:after="120"/>
              <w:rPr>
                <w:sz w:val="18"/>
                <w:szCs w:val="18"/>
                <w:lang w:eastAsia="en-GB"/>
              </w:rPr>
            </w:pPr>
            <w:r w:rsidRPr="00685069">
              <w:rPr>
                <w:sz w:val="18"/>
                <w:szCs w:val="18"/>
                <w:lang w:eastAsia="en-GB"/>
              </w:rPr>
              <w:t>To facilitate compliance with policy on OA &amp; the REF.</w:t>
            </w:r>
          </w:p>
          <w:p w14:paraId="1CF6336A" w14:textId="77777777" w:rsidR="000C57B5" w:rsidRPr="00685069" w:rsidRDefault="000C57B5" w:rsidP="00DE27D9">
            <w:pPr>
              <w:spacing w:after="120"/>
              <w:rPr>
                <w:sz w:val="18"/>
                <w:szCs w:val="18"/>
                <w:lang w:eastAsia="en-GB"/>
              </w:rPr>
            </w:pPr>
            <w:r w:rsidRPr="00685069">
              <w:rPr>
                <w:sz w:val="18"/>
                <w:szCs w:val="18"/>
                <w:lang w:eastAsia="en-GB"/>
              </w:rPr>
              <w:t>To help ensure any embargo period is correctly implemented.</w:t>
            </w:r>
          </w:p>
        </w:tc>
        <w:tc>
          <w:tcPr>
            <w:tcW w:w="3260" w:type="dxa"/>
            <w:hideMark/>
          </w:tcPr>
          <w:p w14:paraId="2C1F2407" w14:textId="77777777" w:rsidR="000C57B5" w:rsidRPr="00685069" w:rsidRDefault="000C57B5" w:rsidP="00DE27D9">
            <w:pPr>
              <w:spacing w:after="120"/>
              <w:rPr>
                <w:sz w:val="18"/>
                <w:szCs w:val="18"/>
                <w:lang w:eastAsia="en-GB"/>
              </w:rPr>
            </w:pPr>
            <w:r w:rsidRPr="00685069">
              <w:rPr>
                <w:sz w:val="18"/>
                <w:szCs w:val="18"/>
                <w:lang w:eastAsia="en-GB"/>
              </w:rPr>
              <w:t xml:space="preserve">UK </w:t>
            </w:r>
            <w:r w:rsidRPr="00685069">
              <w:rPr>
                <w:b/>
                <w:sz w:val="18"/>
                <w:szCs w:val="18"/>
                <w:lang w:eastAsia="en-GB"/>
              </w:rPr>
              <w:t>authors are more likely to submit</w:t>
            </w:r>
            <w:r w:rsidRPr="00685069">
              <w:rPr>
                <w:sz w:val="18"/>
                <w:szCs w:val="18"/>
                <w:lang w:eastAsia="en-GB"/>
              </w:rPr>
              <w:t xml:space="preserve"> their papers if they can be sure they can comply with the REF stipulations, and so be eligible for submission to the next REF.</w:t>
            </w:r>
          </w:p>
        </w:tc>
      </w:tr>
      <w:tr w:rsidR="000C57B5" w:rsidRPr="00C9265C" w14:paraId="2F83DF07" w14:textId="77777777" w:rsidTr="009F6F75">
        <w:trPr>
          <w:cantSplit/>
          <w:trHeight w:val="2400"/>
        </w:trPr>
        <w:tc>
          <w:tcPr>
            <w:tcW w:w="421" w:type="dxa"/>
            <w:hideMark/>
          </w:tcPr>
          <w:p w14:paraId="7C873C74"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lastRenderedPageBreak/>
              <w:t> </w:t>
            </w:r>
          </w:p>
        </w:tc>
        <w:tc>
          <w:tcPr>
            <w:tcW w:w="3402" w:type="dxa"/>
            <w:hideMark/>
          </w:tcPr>
          <w:p w14:paraId="6B271F94" w14:textId="349C8544" w:rsidR="000C57B5" w:rsidRPr="00685069" w:rsidRDefault="00FF2548" w:rsidP="00FF2548">
            <w:pPr>
              <w:spacing w:after="120"/>
              <w:rPr>
                <w:sz w:val="18"/>
                <w:szCs w:val="18"/>
                <w:lang w:eastAsia="en-GB"/>
              </w:rPr>
            </w:pPr>
            <w:r>
              <w:rPr>
                <w:sz w:val="18"/>
                <w:szCs w:val="18"/>
                <w:lang w:eastAsia="en-GB"/>
              </w:rPr>
              <w:t>The publisher should p</w:t>
            </w:r>
            <w:r w:rsidR="000C57B5" w:rsidRPr="00685069">
              <w:rPr>
                <w:sz w:val="18"/>
                <w:szCs w:val="18"/>
                <w:lang w:eastAsia="en-GB"/>
              </w:rPr>
              <w:t>opulat</w:t>
            </w:r>
            <w:r>
              <w:rPr>
                <w:sz w:val="18"/>
                <w:szCs w:val="18"/>
                <w:lang w:eastAsia="en-GB"/>
              </w:rPr>
              <w:t>e</w:t>
            </w:r>
            <w:r w:rsidR="000C57B5" w:rsidRPr="00685069">
              <w:rPr>
                <w:sz w:val="18"/>
                <w:szCs w:val="18"/>
                <w:lang w:eastAsia="en-GB"/>
              </w:rPr>
              <w:t xml:space="preserve"> authors’ affiliation fields on </w:t>
            </w:r>
            <w:proofErr w:type="spellStart"/>
            <w:r w:rsidR="000C57B5" w:rsidRPr="00685069">
              <w:rPr>
                <w:sz w:val="18"/>
                <w:szCs w:val="18"/>
                <w:lang w:eastAsia="en-GB"/>
              </w:rPr>
              <w:t>CrossRef</w:t>
            </w:r>
            <w:proofErr w:type="spellEnd"/>
            <w:r w:rsidR="000C57B5" w:rsidRPr="00685069">
              <w:rPr>
                <w:sz w:val="18"/>
                <w:szCs w:val="18"/>
                <w:lang w:eastAsia="en-GB"/>
              </w:rPr>
              <w:t xml:space="preserve"> (including on acceptance if they register DOI then).</w:t>
            </w:r>
          </w:p>
        </w:tc>
        <w:tc>
          <w:tcPr>
            <w:tcW w:w="2835" w:type="dxa"/>
            <w:hideMark/>
          </w:tcPr>
          <w:p w14:paraId="56F37144" w14:textId="77777777" w:rsidR="000C57B5" w:rsidRPr="00685069" w:rsidRDefault="000C57B5" w:rsidP="00DE27D9">
            <w:pPr>
              <w:spacing w:after="120"/>
              <w:rPr>
                <w:sz w:val="18"/>
                <w:szCs w:val="18"/>
                <w:lang w:eastAsia="en-GB"/>
              </w:rPr>
            </w:pPr>
            <w:r w:rsidRPr="00685069">
              <w:rPr>
                <w:sz w:val="18"/>
                <w:szCs w:val="18"/>
                <w:lang w:eastAsia="en-GB"/>
              </w:rPr>
              <w:t>To enable institutions (e.g. via CRISs) to identify their outputs, and Jisc Publications Router to deliver them to correct institution, in order to populate IRs in compliance with REF OA policy.</w:t>
            </w:r>
          </w:p>
        </w:tc>
        <w:tc>
          <w:tcPr>
            <w:tcW w:w="3260" w:type="dxa"/>
            <w:hideMark/>
          </w:tcPr>
          <w:p w14:paraId="544D2B53" w14:textId="77777777" w:rsidR="000C57B5" w:rsidRPr="00685069" w:rsidRDefault="000C57B5" w:rsidP="00DE27D9">
            <w:pPr>
              <w:spacing w:after="120"/>
              <w:rPr>
                <w:sz w:val="18"/>
                <w:szCs w:val="18"/>
                <w:lang w:eastAsia="en-GB"/>
              </w:rPr>
            </w:pPr>
            <w:r w:rsidRPr="00685069">
              <w:rPr>
                <w:b/>
                <w:sz w:val="18"/>
                <w:szCs w:val="18"/>
                <w:lang w:eastAsia="en-GB"/>
              </w:rPr>
              <w:t>Authors</w:t>
            </w:r>
            <w:r w:rsidRPr="00685069">
              <w:rPr>
                <w:sz w:val="18"/>
                <w:szCs w:val="18"/>
                <w:lang w:eastAsia="en-GB"/>
              </w:rPr>
              <w:t xml:space="preserve"> around the world are </w:t>
            </w:r>
            <w:r w:rsidRPr="00685069">
              <w:rPr>
                <w:b/>
                <w:sz w:val="18"/>
                <w:szCs w:val="18"/>
                <w:lang w:eastAsia="en-GB"/>
              </w:rPr>
              <w:t>more likely to submit their best papers</w:t>
            </w:r>
            <w:r w:rsidRPr="00685069">
              <w:rPr>
                <w:sz w:val="18"/>
                <w:szCs w:val="18"/>
                <w:lang w:eastAsia="en-GB"/>
              </w:rPr>
              <w:t xml:space="preserve"> if they can be confident that the publisher is actively helping their content find its way to the right repositories, helping them to comply with the stipulations of OA mandates from funders, institutions </w:t>
            </w:r>
            <w:proofErr w:type="spellStart"/>
            <w:r w:rsidRPr="00685069">
              <w:rPr>
                <w:sz w:val="18"/>
                <w:szCs w:val="18"/>
                <w:lang w:eastAsia="en-GB"/>
              </w:rPr>
              <w:t>etc</w:t>
            </w:r>
            <w:proofErr w:type="spellEnd"/>
            <w:r w:rsidRPr="00685069">
              <w:rPr>
                <w:sz w:val="18"/>
                <w:szCs w:val="18"/>
                <w:lang w:eastAsia="en-GB"/>
              </w:rPr>
              <w:t>, and especially if they can avoid the need to worry about having to do this themselves.</w:t>
            </w:r>
          </w:p>
        </w:tc>
      </w:tr>
      <w:tr w:rsidR="000C57B5" w:rsidRPr="00C9265C" w14:paraId="77186D98" w14:textId="77777777" w:rsidTr="009F6F75">
        <w:trPr>
          <w:cantSplit/>
          <w:trHeight w:val="900"/>
        </w:trPr>
        <w:tc>
          <w:tcPr>
            <w:tcW w:w="421" w:type="dxa"/>
            <w:hideMark/>
          </w:tcPr>
          <w:p w14:paraId="710FDB25"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hideMark/>
          </w:tcPr>
          <w:p w14:paraId="0856FED9" w14:textId="50B7CCD7" w:rsidR="000C57B5" w:rsidRPr="00685069" w:rsidRDefault="00FF2548" w:rsidP="00FF2548">
            <w:pPr>
              <w:spacing w:after="120"/>
              <w:rPr>
                <w:sz w:val="18"/>
                <w:szCs w:val="18"/>
                <w:lang w:eastAsia="en-GB"/>
              </w:rPr>
            </w:pPr>
            <w:r>
              <w:rPr>
                <w:sz w:val="18"/>
                <w:szCs w:val="18"/>
                <w:lang w:eastAsia="en-GB"/>
              </w:rPr>
              <w:t>The publisher should a</w:t>
            </w:r>
            <w:r w:rsidR="000C57B5" w:rsidRPr="00685069">
              <w:rPr>
                <w:sz w:val="18"/>
                <w:szCs w:val="18"/>
                <w:lang w:eastAsia="en-GB"/>
              </w:rPr>
              <w:t xml:space="preserve">dopt ORCID throughout workflow from submission to publication. Expose author ORCIDs in published articles and via A&amp;I services, </w:t>
            </w:r>
            <w:proofErr w:type="spellStart"/>
            <w:r w:rsidR="000C57B5" w:rsidRPr="00685069">
              <w:rPr>
                <w:sz w:val="18"/>
                <w:szCs w:val="18"/>
                <w:lang w:eastAsia="en-GB"/>
              </w:rPr>
              <w:t>CrossRef</w:t>
            </w:r>
            <w:proofErr w:type="spellEnd"/>
            <w:r w:rsidR="000C57B5" w:rsidRPr="00685069">
              <w:rPr>
                <w:sz w:val="18"/>
                <w:szCs w:val="18"/>
                <w:lang w:eastAsia="en-GB"/>
              </w:rPr>
              <w:t>, other discovery services.</w:t>
            </w:r>
          </w:p>
        </w:tc>
        <w:tc>
          <w:tcPr>
            <w:tcW w:w="2835" w:type="dxa"/>
            <w:hideMark/>
          </w:tcPr>
          <w:p w14:paraId="0C7B8D99" w14:textId="77777777" w:rsidR="000C57B5" w:rsidRPr="00685069" w:rsidRDefault="000C57B5" w:rsidP="00DE27D9">
            <w:pPr>
              <w:spacing w:after="120"/>
              <w:rPr>
                <w:sz w:val="18"/>
                <w:szCs w:val="18"/>
                <w:lang w:eastAsia="en-GB"/>
              </w:rPr>
            </w:pPr>
            <w:r w:rsidRPr="00685069">
              <w:rPr>
                <w:sz w:val="18"/>
                <w:szCs w:val="18"/>
                <w:lang w:eastAsia="en-GB"/>
              </w:rPr>
              <w:t>To help identify outputs from given individual and institution, to help populate IRs and monitor research outputs, OA compliance etc.</w:t>
            </w:r>
          </w:p>
        </w:tc>
        <w:tc>
          <w:tcPr>
            <w:tcW w:w="3260" w:type="dxa"/>
            <w:hideMark/>
          </w:tcPr>
          <w:p w14:paraId="7AF3D3FC" w14:textId="77777777" w:rsidR="000C57B5" w:rsidRPr="00685069" w:rsidRDefault="000C57B5" w:rsidP="00DE27D9">
            <w:pPr>
              <w:spacing w:after="120"/>
              <w:rPr>
                <w:sz w:val="18"/>
                <w:szCs w:val="18"/>
                <w:lang w:eastAsia="en-GB"/>
              </w:rPr>
            </w:pPr>
            <w:r w:rsidRPr="00685069">
              <w:rPr>
                <w:b/>
                <w:sz w:val="18"/>
                <w:szCs w:val="18"/>
                <w:lang w:eastAsia="en-GB"/>
              </w:rPr>
              <w:t>Authors around the world are more likely to submit their best papers</w:t>
            </w:r>
            <w:r w:rsidRPr="00685069">
              <w:rPr>
                <w:sz w:val="18"/>
                <w:szCs w:val="18"/>
                <w:lang w:eastAsia="en-GB"/>
              </w:rPr>
              <w:t xml:space="preserve"> if they can be confident the publisher will help them (and their institutions, funders, peers...) to track unambiguously which outputs and citations belong to them (e.g. also via A&amp;I services like </w:t>
            </w:r>
            <w:proofErr w:type="spellStart"/>
            <w:r w:rsidRPr="00685069">
              <w:rPr>
                <w:sz w:val="18"/>
                <w:szCs w:val="18"/>
                <w:lang w:eastAsia="en-GB"/>
              </w:rPr>
              <w:t>WoS</w:t>
            </w:r>
            <w:proofErr w:type="spellEnd"/>
            <w:r w:rsidRPr="00685069">
              <w:rPr>
                <w:sz w:val="18"/>
                <w:szCs w:val="18"/>
                <w:lang w:eastAsia="en-GB"/>
              </w:rPr>
              <w:t xml:space="preserve"> &amp; Scopus - greatly facilitated if ORCIDs captured by publisher/ society at source and then passed on).</w:t>
            </w:r>
          </w:p>
        </w:tc>
      </w:tr>
      <w:tr w:rsidR="000C57B5" w:rsidRPr="00C9265C" w14:paraId="31196558" w14:textId="77777777" w:rsidTr="009F6F75">
        <w:trPr>
          <w:cantSplit/>
          <w:trHeight w:val="300"/>
        </w:trPr>
        <w:tc>
          <w:tcPr>
            <w:tcW w:w="421" w:type="dxa"/>
            <w:hideMark/>
          </w:tcPr>
          <w:p w14:paraId="7F315494"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hideMark/>
          </w:tcPr>
          <w:p w14:paraId="2286B56B" w14:textId="2AEA6EF9" w:rsidR="000C57B5" w:rsidRPr="00685069" w:rsidRDefault="00FF2548" w:rsidP="00FF2548">
            <w:pPr>
              <w:spacing w:after="120"/>
              <w:rPr>
                <w:sz w:val="18"/>
                <w:szCs w:val="18"/>
                <w:lang w:eastAsia="en-GB"/>
              </w:rPr>
            </w:pPr>
            <w:r>
              <w:rPr>
                <w:sz w:val="18"/>
                <w:szCs w:val="18"/>
                <w:lang w:eastAsia="en-GB"/>
              </w:rPr>
              <w:t>The publisher should p</w:t>
            </w:r>
            <w:r w:rsidR="000C57B5" w:rsidRPr="00685069">
              <w:rPr>
                <w:sz w:val="18"/>
                <w:szCs w:val="18"/>
                <w:lang w:eastAsia="en-GB"/>
              </w:rPr>
              <w:t xml:space="preserve">opulate funding metadata, including funding body and grant number, both </w:t>
            </w:r>
            <w:proofErr w:type="spellStart"/>
            <w:r w:rsidR="000C57B5" w:rsidRPr="00685069">
              <w:rPr>
                <w:sz w:val="18"/>
                <w:szCs w:val="18"/>
                <w:lang w:eastAsia="en-GB"/>
              </w:rPr>
              <w:t>FundRef</w:t>
            </w:r>
            <w:proofErr w:type="spellEnd"/>
            <w:r w:rsidR="000C57B5" w:rsidRPr="00685069">
              <w:rPr>
                <w:sz w:val="18"/>
                <w:szCs w:val="18"/>
                <w:lang w:eastAsia="en-GB"/>
              </w:rPr>
              <w:t xml:space="preserve"> (on </w:t>
            </w:r>
            <w:proofErr w:type="spellStart"/>
            <w:r w:rsidR="000C57B5" w:rsidRPr="00685069">
              <w:rPr>
                <w:sz w:val="18"/>
                <w:szCs w:val="18"/>
                <w:lang w:eastAsia="en-GB"/>
              </w:rPr>
              <w:t>CrossRef</w:t>
            </w:r>
            <w:proofErr w:type="spellEnd"/>
            <w:r w:rsidR="000C57B5" w:rsidRPr="00685069">
              <w:rPr>
                <w:sz w:val="18"/>
                <w:szCs w:val="18"/>
                <w:lang w:eastAsia="en-GB"/>
              </w:rPr>
              <w:t>) &amp; on publisher site.</w:t>
            </w:r>
          </w:p>
        </w:tc>
        <w:tc>
          <w:tcPr>
            <w:tcW w:w="2835" w:type="dxa"/>
            <w:hideMark/>
          </w:tcPr>
          <w:p w14:paraId="24EA82E5" w14:textId="77777777" w:rsidR="000C57B5" w:rsidRPr="00685069" w:rsidRDefault="000C57B5" w:rsidP="00DE27D9">
            <w:pPr>
              <w:spacing w:after="120"/>
              <w:rPr>
                <w:sz w:val="18"/>
                <w:szCs w:val="18"/>
                <w:lang w:eastAsia="en-GB"/>
              </w:rPr>
            </w:pPr>
            <w:r w:rsidRPr="00685069">
              <w:rPr>
                <w:sz w:val="18"/>
                <w:szCs w:val="18"/>
                <w:lang w:eastAsia="en-GB"/>
              </w:rPr>
              <w:t>To help funders identify outputs of their research and to help institutions and funders monitor compliance with funder mandates.</w:t>
            </w:r>
          </w:p>
        </w:tc>
        <w:tc>
          <w:tcPr>
            <w:tcW w:w="3260" w:type="dxa"/>
            <w:hideMark/>
          </w:tcPr>
          <w:p w14:paraId="53AC476F" w14:textId="77777777" w:rsidR="000C57B5" w:rsidRPr="00685069" w:rsidRDefault="000C57B5" w:rsidP="00DE27D9">
            <w:pPr>
              <w:spacing w:after="120"/>
              <w:rPr>
                <w:sz w:val="18"/>
                <w:szCs w:val="18"/>
                <w:lang w:eastAsia="en-GB"/>
              </w:rPr>
            </w:pPr>
            <w:r w:rsidRPr="00685069">
              <w:rPr>
                <w:b/>
                <w:sz w:val="18"/>
                <w:szCs w:val="18"/>
                <w:lang w:eastAsia="en-GB"/>
              </w:rPr>
              <w:t>Authors around the world are more likely to submit their best papers</w:t>
            </w:r>
            <w:r w:rsidRPr="00685069">
              <w:rPr>
                <w:sz w:val="18"/>
                <w:szCs w:val="18"/>
                <w:lang w:eastAsia="en-GB"/>
              </w:rPr>
              <w:t xml:space="preserve"> if they can be confident that the journal complies with their funder’s requirements.</w:t>
            </w:r>
          </w:p>
          <w:p w14:paraId="133D48AA" w14:textId="77777777" w:rsidR="000C57B5" w:rsidRPr="00685069" w:rsidRDefault="000C57B5" w:rsidP="00DE27D9">
            <w:pPr>
              <w:spacing w:after="120"/>
              <w:rPr>
                <w:sz w:val="18"/>
                <w:szCs w:val="18"/>
                <w:lang w:eastAsia="en-GB"/>
              </w:rPr>
            </w:pPr>
            <w:r w:rsidRPr="00685069">
              <w:rPr>
                <w:sz w:val="18"/>
                <w:szCs w:val="18"/>
                <w:lang w:eastAsia="en-GB"/>
              </w:rPr>
              <w:t>(Also some kudos benefit to journal/ publisher if papers seen to be linked to prestigious funding.)</w:t>
            </w:r>
          </w:p>
        </w:tc>
      </w:tr>
      <w:tr w:rsidR="000C57B5" w:rsidRPr="00C9265C" w14:paraId="577E1E57" w14:textId="77777777" w:rsidTr="009F6F75">
        <w:trPr>
          <w:cantSplit/>
          <w:trHeight w:val="300"/>
        </w:trPr>
        <w:tc>
          <w:tcPr>
            <w:tcW w:w="421" w:type="dxa"/>
            <w:hideMark/>
          </w:tcPr>
          <w:p w14:paraId="3651B4AA"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r w:rsidRPr="00C9265C">
              <w:rPr>
                <w:rFonts w:ascii="Calibri" w:eastAsia="Times New Roman" w:hAnsi="Calibri" w:cs="Arial"/>
                <w:color w:val="000000"/>
                <w:lang w:eastAsia="en-GB"/>
              </w:rPr>
              <w:t> </w:t>
            </w:r>
          </w:p>
        </w:tc>
        <w:tc>
          <w:tcPr>
            <w:tcW w:w="3402" w:type="dxa"/>
            <w:hideMark/>
          </w:tcPr>
          <w:p w14:paraId="778CB379" w14:textId="42EC417C" w:rsidR="000C57B5" w:rsidRPr="00685069" w:rsidRDefault="00FF2548" w:rsidP="00DE27D9">
            <w:pPr>
              <w:spacing w:after="120"/>
              <w:rPr>
                <w:sz w:val="18"/>
                <w:szCs w:val="18"/>
                <w:lang w:eastAsia="en-GB"/>
              </w:rPr>
            </w:pPr>
            <w:r>
              <w:rPr>
                <w:sz w:val="18"/>
                <w:szCs w:val="18"/>
                <w:lang w:eastAsia="en-GB"/>
              </w:rPr>
              <w:t>The publisher should p</w:t>
            </w:r>
            <w:r w:rsidR="000C57B5" w:rsidRPr="00685069">
              <w:rPr>
                <w:sz w:val="18"/>
                <w:szCs w:val="18"/>
                <w:lang w:eastAsia="en-GB"/>
              </w:rPr>
              <w:t xml:space="preserve">rovide Jisc with data (annually in retrospect) that would enable calculation of total cost of ownership (TCO), including </w:t>
            </w:r>
          </w:p>
          <w:p w14:paraId="6BCE215D" w14:textId="77777777" w:rsidR="000C57B5" w:rsidRPr="00685069" w:rsidRDefault="000C57B5" w:rsidP="000C57B5">
            <w:pPr>
              <w:pStyle w:val="ListParagraph"/>
              <w:numPr>
                <w:ilvl w:val="0"/>
                <w:numId w:val="24"/>
              </w:numPr>
              <w:suppressAutoHyphens w:val="0"/>
              <w:autoSpaceDN/>
              <w:spacing w:after="120" w:line="240" w:lineRule="auto"/>
              <w:ind w:left="591"/>
              <w:contextualSpacing/>
              <w:textAlignment w:val="auto"/>
              <w:rPr>
                <w:sz w:val="18"/>
                <w:szCs w:val="18"/>
                <w:lang w:eastAsia="en-GB"/>
              </w:rPr>
            </w:pPr>
            <w:r w:rsidRPr="00685069">
              <w:rPr>
                <w:sz w:val="18"/>
                <w:szCs w:val="18"/>
                <w:lang w:eastAsia="en-GB"/>
              </w:rPr>
              <w:t>Number of APCs paid</w:t>
            </w:r>
          </w:p>
          <w:p w14:paraId="5DE2E917" w14:textId="77777777" w:rsidR="000C57B5" w:rsidRPr="00685069" w:rsidRDefault="000C57B5" w:rsidP="000C57B5">
            <w:pPr>
              <w:pStyle w:val="ListParagraph"/>
              <w:numPr>
                <w:ilvl w:val="0"/>
                <w:numId w:val="24"/>
              </w:numPr>
              <w:suppressAutoHyphens w:val="0"/>
              <w:autoSpaceDN/>
              <w:spacing w:after="120" w:line="240" w:lineRule="auto"/>
              <w:ind w:left="591"/>
              <w:contextualSpacing/>
              <w:textAlignment w:val="auto"/>
              <w:rPr>
                <w:sz w:val="18"/>
                <w:szCs w:val="18"/>
                <w:lang w:eastAsia="en-GB"/>
              </w:rPr>
            </w:pPr>
            <w:r w:rsidRPr="00685069">
              <w:rPr>
                <w:sz w:val="18"/>
                <w:szCs w:val="18"/>
                <w:lang w:eastAsia="en-GB"/>
              </w:rPr>
              <w:t>Total of APC revenue from each licensee</w:t>
            </w:r>
          </w:p>
          <w:p w14:paraId="6514FE61" w14:textId="77777777" w:rsidR="000C57B5" w:rsidRPr="00685069" w:rsidRDefault="000C57B5" w:rsidP="000C57B5">
            <w:pPr>
              <w:pStyle w:val="ListParagraph"/>
              <w:numPr>
                <w:ilvl w:val="0"/>
                <w:numId w:val="24"/>
              </w:numPr>
              <w:suppressAutoHyphens w:val="0"/>
              <w:autoSpaceDN/>
              <w:spacing w:after="120" w:line="240" w:lineRule="auto"/>
              <w:ind w:left="591"/>
              <w:contextualSpacing/>
              <w:textAlignment w:val="auto"/>
              <w:rPr>
                <w:sz w:val="18"/>
                <w:szCs w:val="18"/>
                <w:lang w:eastAsia="en-GB"/>
              </w:rPr>
            </w:pPr>
            <w:r w:rsidRPr="00685069">
              <w:rPr>
                <w:sz w:val="18"/>
                <w:szCs w:val="18"/>
                <w:lang w:eastAsia="en-GB"/>
              </w:rPr>
              <w:lastRenderedPageBreak/>
              <w:t>Above broken down by funder and institution</w:t>
            </w:r>
          </w:p>
          <w:p w14:paraId="716FC612" w14:textId="77777777" w:rsidR="000C57B5" w:rsidRPr="00685069" w:rsidRDefault="000C57B5" w:rsidP="00DE27D9">
            <w:pPr>
              <w:spacing w:after="120"/>
              <w:rPr>
                <w:sz w:val="18"/>
                <w:szCs w:val="18"/>
                <w:lang w:eastAsia="en-GB"/>
              </w:rPr>
            </w:pPr>
            <w:r w:rsidRPr="00685069">
              <w:rPr>
                <w:sz w:val="18"/>
                <w:szCs w:val="18"/>
                <w:lang w:eastAsia="en-GB"/>
              </w:rPr>
              <w:t>(Explore possibility of publishers providing detailed tabular breakdown matching RCUK reporting requirements, for example, to help institutions compile these returns.)</w:t>
            </w:r>
          </w:p>
        </w:tc>
        <w:tc>
          <w:tcPr>
            <w:tcW w:w="2835" w:type="dxa"/>
            <w:hideMark/>
          </w:tcPr>
          <w:p w14:paraId="680EA3E3" w14:textId="77777777" w:rsidR="000C57B5" w:rsidRPr="00685069" w:rsidRDefault="000C57B5" w:rsidP="00DE27D9">
            <w:pPr>
              <w:spacing w:after="120"/>
              <w:rPr>
                <w:sz w:val="18"/>
                <w:szCs w:val="18"/>
                <w:lang w:eastAsia="en-GB"/>
              </w:rPr>
            </w:pPr>
            <w:r w:rsidRPr="00685069">
              <w:rPr>
                <w:sz w:val="18"/>
                <w:szCs w:val="18"/>
                <w:lang w:eastAsia="en-GB"/>
              </w:rPr>
              <w:lastRenderedPageBreak/>
              <w:t>To enable Jisc to track total expenditure and be in stronger position to negotiate offsets between APCs and licence expenditure.</w:t>
            </w:r>
          </w:p>
          <w:p w14:paraId="14B22557" w14:textId="77777777" w:rsidR="000C57B5" w:rsidRPr="00685069" w:rsidRDefault="000C57B5" w:rsidP="00DE27D9">
            <w:pPr>
              <w:spacing w:after="120"/>
              <w:rPr>
                <w:sz w:val="18"/>
                <w:szCs w:val="18"/>
                <w:lang w:eastAsia="en-GB"/>
              </w:rPr>
            </w:pPr>
            <w:r w:rsidRPr="00685069">
              <w:rPr>
                <w:sz w:val="18"/>
                <w:szCs w:val="18"/>
                <w:lang w:eastAsia="en-GB"/>
              </w:rPr>
              <w:t>To inform future policy development.</w:t>
            </w:r>
          </w:p>
          <w:p w14:paraId="114F4756" w14:textId="77777777" w:rsidR="000C57B5" w:rsidRPr="00685069" w:rsidRDefault="000C57B5" w:rsidP="00DE27D9">
            <w:pPr>
              <w:spacing w:after="120"/>
              <w:rPr>
                <w:sz w:val="18"/>
                <w:szCs w:val="18"/>
                <w:lang w:eastAsia="en-GB"/>
              </w:rPr>
            </w:pPr>
          </w:p>
        </w:tc>
        <w:tc>
          <w:tcPr>
            <w:tcW w:w="3260" w:type="dxa"/>
            <w:hideMark/>
          </w:tcPr>
          <w:p w14:paraId="297061B8" w14:textId="77777777" w:rsidR="000C57B5" w:rsidRPr="00685069" w:rsidRDefault="000C57B5" w:rsidP="00DE27D9">
            <w:pPr>
              <w:spacing w:after="120"/>
              <w:rPr>
                <w:sz w:val="18"/>
                <w:szCs w:val="18"/>
                <w:lang w:eastAsia="en-GB"/>
              </w:rPr>
            </w:pPr>
            <w:r w:rsidRPr="00685069">
              <w:rPr>
                <w:sz w:val="18"/>
                <w:szCs w:val="18"/>
                <w:lang w:eastAsia="en-GB"/>
              </w:rPr>
              <w:lastRenderedPageBreak/>
              <w:t xml:space="preserve">Authors and institutions will be more willing to choose and pay for OA option in hybrid journals if they have confidence that charges/ pricing structure is fair and represents a viable transition route to OA rather than extra revenue stream for publishers. </w:t>
            </w:r>
          </w:p>
          <w:p w14:paraId="5761A184" w14:textId="77777777" w:rsidR="000C57B5" w:rsidRPr="00685069" w:rsidRDefault="000C57B5" w:rsidP="00DE27D9">
            <w:pPr>
              <w:spacing w:after="120"/>
              <w:rPr>
                <w:sz w:val="18"/>
                <w:szCs w:val="18"/>
                <w:lang w:eastAsia="en-GB"/>
              </w:rPr>
            </w:pPr>
            <w:r w:rsidRPr="00685069">
              <w:rPr>
                <w:b/>
                <w:sz w:val="18"/>
                <w:szCs w:val="18"/>
                <w:lang w:eastAsia="en-GB"/>
              </w:rPr>
              <w:lastRenderedPageBreak/>
              <w:t>Reduces risk of losing subs</w:t>
            </w:r>
            <w:r w:rsidRPr="00685069">
              <w:rPr>
                <w:sz w:val="18"/>
                <w:szCs w:val="18"/>
                <w:lang w:eastAsia="en-GB"/>
              </w:rPr>
              <w:t xml:space="preserve"> during transition to long-term sustainable gold OA business model.</w:t>
            </w:r>
          </w:p>
        </w:tc>
      </w:tr>
      <w:tr w:rsidR="000C57B5" w:rsidRPr="00C9265C" w14:paraId="1F89ABAB" w14:textId="77777777" w:rsidTr="009F6F75">
        <w:trPr>
          <w:cantSplit/>
          <w:trHeight w:val="300"/>
        </w:trPr>
        <w:tc>
          <w:tcPr>
            <w:tcW w:w="421" w:type="dxa"/>
          </w:tcPr>
          <w:p w14:paraId="1C5EE432"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tcPr>
          <w:p w14:paraId="7F651DEA" w14:textId="6D023402" w:rsidR="000C57B5" w:rsidRPr="00685069" w:rsidRDefault="00FF2548" w:rsidP="00DE27D9">
            <w:pPr>
              <w:spacing w:after="120"/>
              <w:rPr>
                <w:sz w:val="18"/>
                <w:szCs w:val="18"/>
                <w:lang w:eastAsia="en-GB"/>
              </w:rPr>
            </w:pPr>
            <w:r w:rsidRPr="00FF2548">
              <w:rPr>
                <w:sz w:val="18"/>
                <w:szCs w:val="18"/>
                <w:lang w:eastAsia="en-GB"/>
              </w:rPr>
              <w:t>The publisher should e</w:t>
            </w:r>
            <w:r w:rsidR="000C57B5" w:rsidRPr="00FF2548">
              <w:rPr>
                <w:sz w:val="18"/>
                <w:szCs w:val="18"/>
                <w:lang w:eastAsia="en-GB"/>
              </w:rPr>
              <w:t xml:space="preserve">xplore with Jisc </w:t>
            </w:r>
            <w:r>
              <w:rPr>
                <w:sz w:val="18"/>
                <w:szCs w:val="18"/>
                <w:lang w:eastAsia="en-GB"/>
              </w:rPr>
              <w:t xml:space="preserve">and others </w:t>
            </w:r>
            <w:r w:rsidR="000C57B5" w:rsidRPr="00FF2548">
              <w:rPr>
                <w:sz w:val="18"/>
                <w:szCs w:val="18"/>
                <w:lang w:eastAsia="en-GB"/>
              </w:rPr>
              <w:t>how best to ensure that corre</w:t>
            </w:r>
            <w:r w:rsidR="000C57B5" w:rsidRPr="00685069">
              <w:rPr>
                <w:sz w:val="18"/>
                <w:szCs w:val="18"/>
                <w:lang w:eastAsia="en-GB"/>
              </w:rPr>
              <w:t>sponding authors are aware, if a hybrid OA option is available to them, of their institution’s participation in any offset scheme (such as discounted APC as a result of institution holding a current subscription) in time for this to inform their choice of whether to take up the OA option.</w:t>
            </w:r>
          </w:p>
          <w:p w14:paraId="65398C59" w14:textId="77777777" w:rsidR="000C57B5" w:rsidRPr="00685069" w:rsidRDefault="000C57B5" w:rsidP="00DE27D9">
            <w:pPr>
              <w:spacing w:after="120"/>
              <w:rPr>
                <w:sz w:val="18"/>
                <w:szCs w:val="18"/>
                <w:lang w:eastAsia="en-GB"/>
              </w:rPr>
            </w:pPr>
            <w:r w:rsidRPr="00685069">
              <w:rPr>
                <w:sz w:val="18"/>
                <w:szCs w:val="18"/>
                <w:lang w:eastAsia="en-GB"/>
              </w:rPr>
              <w:t>Look at options to communicate this to authors in the best way possible.</w:t>
            </w:r>
          </w:p>
        </w:tc>
        <w:tc>
          <w:tcPr>
            <w:tcW w:w="2835" w:type="dxa"/>
          </w:tcPr>
          <w:p w14:paraId="6BCA135D" w14:textId="77777777" w:rsidR="000C57B5" w:rsidRPr="00685069" w:rsidRDefault="000C57B5" w:rsidP="00DE27D9">
            <w:pPr>
              <w:spacing w:after="120"/>
              <w:rPr>
                <w:sz w:val="18"/>
                <w:szCs w:val="18"/>
                <w:lang w:eastAsia="en-GB"/>
              </w:rPr>
            </w:pPr>
            <w:r w:rsidRPr="00685069">
              <w:rPr>
                <w:sz w:val="18"/>
                <w:szCs w:val="18"/>
                <w:lang w:eastAsia="en-GB"/>
              </w:rPr>
              <w:t>To ensure authors and institutions take advantage of offsetting arrangements.</w:t>
            </w:r>
          </w:p>
          <w:p w14:paraId="4255B93E" w14:textId="77777777" w:rsidR="000C57B5" w:rsidRPr="00685069" w:rsidRDefault="000C57B5" w:rsidP="00DE27D9">
            <w:pPr>
              <w:spacing w:after="120"/>
              <w:rPr>
                <w:sz w:val="18"/>
                <w:szCs w:val="18"/>
                <w:lang w:eastAsia="en-GB"/>
              </w:rPr>
            </w:pPr>
            <w:r w:rsidRPr="00685069">
              <w:rPr>
                <w:sz w:val="18"/>
                <w:szCs w:val="18"/>
                <w:lang w:eastAsia="en-GB"/>
              </w:rPr>
              <w:t>To contain costs during transition to gold OA.</w:t>
            </w:r>
          </w:p>
        </w:tc>
        <w:tc>
          <w:tcPr>
            <w:tcW w:w="3260" w:type="dxa"/>
          </w:tcPr>
          <w:p w14:paraId="6DB04D12" w14:textId="7FF63CC9" w:rsidR="000C57B5" w:rsidRPr="00685069" w:rsidRDefault="000C57B5" w:rsidP="00F1734C">
            <w:pPr>
              <w:spacing w:after="120"/>
              <w:rPr>
                <w:sz w:val="18"/>
                <w:szCs w:val="18"/>
                <w:lang w:eastAsia="en-GB"/>
              </w:rPr>
            </w:pPr>
            <w:r w:rsidRPr="00685069">
              <w:rPr>
                <w:sz w:val="18"/>
                <w:szCs w:val="18"/>
                <w:lang w:eastAsia="en-GB"/>
              </w:rPr>
              <w:t>As 1</w:t>
            </w:r>
            <w:r w:rsidR="00F1734C">
              <w:rPr>
                <w:sz w:val="18"/>
                <w:szCs w:val="18"/>
                <w:lang w:eastAsia="en-GB"/>
              </w:rPr>
              <w:t>2</w:t>
            </w:r>
            <w:r w:rsidRPr="00685069">
              <w:rPr>
                <w:sz w:val="18"/>
                <w:szCs w:val="18"/>
                <w:lang w:eastAsia="en-GB"/>
              </w:rPr>
              <w:t xml:space="preserve"> above.</w:t>
            </w:r>
          </w:p>
        </w:tc>
      </w:tr>
      <w:tr w:rsidR="000C57B5" w:rsidRPr="00C9265C" w14:paraId="322510C7" w14:textId="77777777" w:rsidTr="009F6F75">
        <w:trPr>
          <w:cantSplit/>
          <w:trHeight w:val="300"/>
        </w:trPr>
        <w:tc>
          <w:tcPr>
            <w:tcW w:w="421" w:type="dxa"/>
          </w:tcPr>
          <w:p w14:paraId="7F8B89F9"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tcPr>
          <w:p w14:paraId="273900E8" w14:textId="1EF12E12" w:rsidR="000C57B5" w:rsidRDefault="00FF2548" w:rsidP="00DE27D9">
            <w:pPr>
              <w:spacing w:after="120"/>
              <w:rPr>
                <w:rFonts w:ascii="Calibri" w:eastAsia="Times New Roman" w:hAnsi="Calibri"/>
                <w:color w:val="000000"/>
                <w:sz w:val="18"/>
                <w:szCs w:val="18"/>
              </w:rPr>
            </w:pPr>
            <w:r>
              <w:rPr>
                <w:rFonts w:ascii="Calibri" w:eastAsia="Times New Roman" w:hAnsi="Calibri"/>
                <w:color w:val="000000"/>
                <w:sz w:val="18"/>
                <w:szCs w:val="18"/>
              </w:rPr>
              <w:t>The publisher should a</w:t>
            </w:r>
            <w:r w:rsidR="000C57B5" w:rsidRPr="00685069">
              <w:rPr>
                <w:rFonts w:ascii="Calibri" w:eastAsia="Times New Roman" w:hAnsi="Calibri"/>
                <w:color w:val="000000"/>
                <w:sz w:val="18"/>
                <w:szCs w:val="18"/>
              </w:rPr>
              <w:t>llow unrestricted machine access to their OA content in hybrid journals.</w:t>
            </w:r>
          </w:p>
          <w:p w14:paraId="50E48A0A" w14:textId="77777777" w:rsidR="000C57B5" w:rsidRPr="00B35111" w:rsidRDefault="000C57B5" w:rsidP="000C57B5">
            <w:pPr>
              <w:numPr>
                <w:ilvl w:val="0"/>
                <w:numId w:val="26"/>
              </w:numPr>
              <w:suppressAutoHyphens w:val="0"/>
              <w:autoSpaceDN/>
              <w:spacing w:after="120" w:line="240" w:lineRule="auto"/>
              <w:textAlignment w:val="auto"/>
              <w:rPr>
                <w:sz w:val="18"/>
                <w:szCs w:val="18"/>
                <w:lang w:eastAsia="en-GB"/>
              </w:rPr>
            </w:pPr>
            <w:r w:rsidRPr="00B35111">
              <w:rPr>
                <w:b/>
                <w:bCs/>
                <w:sz w:val="18"/>
                <w:szCs w:val="18"/>
                <w:lang w:eastAsia="en-GB"/>
              </w:rPr>
              <w:t>Lift restrictions on machine access to OA content</w:t>
            </w:r>
            <w:r w:rsidRPr="00B35111">
              <w:rPr>
                <w:sz w:val="18"/>
                <w:szCs w:val="18"/>
                <w:lang w:eastAsia="en-GB"/>
              </w:rPr>
              <w:t xml:space="preserve"> – ensuring that the licensing terms and the site functionality allow this.</w:t>
            </w:r>
          </w:p>
          <w:p w14:paraId="6A907F97" w14:textId="77777777" w:rsidR="000C57B5" w:rsidRPr="00B35111" w:rsidRDefault="000C57B5" w:rsidP="000C57B5">
            <w:pPr>
              <w:numPr>
                <w:ilvl w:val="0"/>
                <w:numId w:val="26"/>
              </w:numPr>
              <w:suppressAutoHyphens w:val="0"/>
              <w:autoSpaceDN/>
              <w:spacing w:after="120" w:line="240" w:lineRule="auto"/>
              <w:textAlignment w:val="auto"/>
              <w:rPr>
                <w:sz w:val="18"/>
                <w:szCs w:val="18"/>
                <w:lang w:eastAsia="en-GB"/>
              </w:rPr>
            </w:pPr>
            <w:r w:rsidRPr="00B35111">
              <w:rPr>
                <w:b/>
                <w:bCs/>
                <w:sz w:val="18"/>
                <w:szCs w:val="18"/>
                <w:lang w:eastAsia="en-GB"/>
              </w:rPr>
              <w:t>Ensure that there is an API that enables identification of OA content</w:t>
            </w:r>
            <w:r w:rsidRPr="00B35111">
              <w:rPr>
                <w:sz w:val="18"/>
                <w:szCs w:val="18"/>
                <w:lang w:eastAsia="en-GB"/>
              </w:rPr>
              <w:t xml:space="preserve"> – and provides access &amp; programmable interrogation of that content.</w:t>
            </w:r>
          </w:p>
          <w:p w14:paraId="447BBB84" w14:textId="77777777" w:rsidR="000C57B5" w:rsidRPr="00685069" w:rsidRDefault="000C57B5" w:rsidP="00DE27D9">
            <w:pPr>
              <w:spacing w:after="120"/>
              <w:rPr>
                <w:sz w:val="18"/>
                <w:szCs w:val="18"/>
                <w:lang w:eastAsia="en-GB"/>
              </w:rPr>
            </w:pPr>
            <w:r w:rsidRPr="00B35111">
              <w:rPr>
                <w:b/>
                <w:bCs/>
                <w:sz w:val="18"/>
                <w:szCs w:val="18"/>
                <w:lang w:eastAsia="en-GB"/>
              </w:rPr>
              <w:t>Revise and make public clear licensing terms that permit the above</w:t>
            </w:r>
            <w:r w:rsidRPr="00B35111">
              <w:rPr>
                <w:sz w:val="18"/>
                <w:szCs w:val="18"/>
                <w:lang w:eastAsia="en-GB"/>
              </w:rPr>
              <w:t xml:space="preserve"> –minimum requirements include explicit permission to download and store copies of </w:t>
            </w:r>
            <w:proofErr w:type="spellStart"/>
            <w:r w:rsidRPr="00B35111">
              <w:rPr>
                <w:sz w:val="18"/>
                <w:szCs w:val="18"/>
                <w:lang w:eastAsia="en-GB"/>
              </w:rPr>
              <w:t>VoR</w:t>
            </w:r>
            <w:proofErr w:type="spellEnd"/>
            <w:r w:rsidRPr="00B35111">
              <w:rPr>
                <w:sz w:val="18"/>
                <w:szCs w:val="18"/>
                <w:lang w:eastAsia="en-GB"/>
              </w:rPr>
              <w:t xml:space="preserve">, ability to make to results of text mining publicly available, including for commercial purposes. </w:t>
            </w:r>
            <w:r w:rsidRPr="00B35111">
              <w:rPr>
                <w:sz w:val="18"/>
                <w:szCs w:val="18"/>
                <w:lang w:eastAsia="en-GB"/>
              </w:rPr>
              <w:lastRenderedPageBreak/>
              <w:t>Importantly, need to be able to harvest the whole of the OA content in order to do meaningful TDM.</w:t>
            </w:r>
          </w:p>
        </w:tc>
        <w:tc>
          <w:tcPr>
            <w:tcW w:w="2835" w:type="dxa"/>
          </w:tcPr>
          <w:p w14:paraId="59D593DD" w14:textId="77777777" w:rsidR="000C57B5" w:rsidRPr="00685069" w:rsidRDefault="000C57B5" w:rsidP="00DE27D9">
            <w:pPr>
              <w:spacing w:after="120"/>
              <w:rPr>
                <w:sz w:val="18"/>
                <w:szCs w:val="18"/>
                <w:lang w:eastAsia="en-GB"/>
              </w:rPr>
            </w:pPr>
            <w:r w:rsidRPr="00685069">
              <w:rPr>
                <w:sz w:val="18"/>
                <w:szCs w:val="18"/>
                <w:lang w:eastAsia="en-GB"/>
              </w:rPr>
              <w:lastRenderedPageBreak/>
              <w:t>To allow researchers to make maximum use (e.g. TDM) of this content.</w:t>
            </w:r>
          </w:p>
        </w:tc>
        <w:tc>
          <w:tcPr>
            <w:tcW w:w="3260" w:type="dxa"/>
          </w:tcPr>
          <w:p w14:paraId="7196681D" w14:textId="77777777" w:rsidR="000C57B5" w:rsidRPr="00685069" w:rsidRDefault="000C57B5" w:rsidP="00DE27D9">
            <w:pPr>
              <w:spacing w:after="120"/>
              <w:rPr>
                <w:sz w:val="18"/>
                <w:szCs w:val="18"/>
                <w:lang w:eastAsia="en-GB"/>
              </w:rPr>
            </w:pPr>
            <w:r w:rsidRPr="00685069">
              <w:rPr>
                <w:sz w:val="18"/>
                <w:szCs w:val="18"/>
                <w:lang w:eastAsia="en-GB"/>
              </w:rPr>
              <w:t>Would help ensure that selecting OA option in hybrid journals is no less attractive to authors than competing “pure” OA journals.</w:t>
            </w:r>
          </w:p>
        </w:tc>
      </w:tr>
      <w:tr w:rsidR="000C57B5" w:rsidRPr="00C9265C" w14:paraId="710CD981" w14:textId="77777777" w:rsidTr="009F6F75">
        <w:trPr>
          <w:cantSplit/>
          <w:trHeight w:val="300"/>
        </w:trPr>
        <w:tc>
          <w:tcPr>
            <w:tcW w:w="421" w:type="dxa"/>
          </w:tcPr>
          <w:p w14:paraId="53018007" w14:textId="77777777" w:rsidR="000C57B5" w:rsidRPr="00C9265C" w:rsidRDefault="000C57B5" w:rsidP="000C57B5">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3402" w:type="dxa"/>
          </w:tcPr>
          <w:p w14:paraId="7B996F4C" w14:textId="62016A3A" w:rsidR="000C57B5" w:rsidRPr="00356663" w:rsidRDefault="00FF2548" w:rsidP="00FF2548">
            <w:pPr>
              <w:spacing w:after="120"/>
              <w:rPr>
                <w:sz w:val="18"/>
                <w:szCs w:val="18"/>
                <w:lang w:eastAsia="en-GB"/>
              </w:rPr>
            </w:pPr>
            <w:r>
              <w:rPr>
                <w:sz w:val="18"/>
                <w:szCs w:val="18"/>
                <w:lang w:eastAsia="en-GB"/>
              </w:rPr>
              <w:t>The publisher should e</w:t>
            </w:r>
            <w:r w:rsidR="000C57B5" w:rsidRPr="00356663">
              <w:rPr>
                <w:sz w:val="18"/>
                <w:szCs w:val="18"/>
                <w:lang w:eastAsia="en-GB"/>
              </w:rPr>
              <w:t>nsure a CC BY option is available for authors to choose.</w:t>
            </w:r>
          </w:p>
        </w:tc>
        <w:tc>
          <w:tcPr>
            <w:tcW w:w="2835" w:type="dxa"/>
          </w:tcPr>
          <w:p w14:paraId="484F9FE2" w14:textId="77777777" w:rsidR="000C57B5" w:rsidRPr="00685069" w:rsidRDefault="000C57B5" w:rsidP="00DE27D9">
            <w:pPr>
              <w:spacing w:after="120"/>
              <w:rPr>
                <w:sz w:val="18"/>
                <w:szCs w:val="18"/>
                <w:lang w:eastAsia="en-GB"/>
              </w:rPr>
            </w:pPr>
            <w:r w:rsidRPr="00356663">
              <w:rPr>
                <w:sz w:val="18"/>
                <w:szCs w:val="18"/>
                <w:lang w:eastAsia="en-GB"/>
              </w:rPr>
              <w:t xml:space="preserve">To enable compliance with RCUK &amp; </w:t>
            </w:r>
            <w:proofErr w:type="spellStart"/>
            <w:r w:rsidRPr="00356663">
              <w:rPr>
                <w:sz w:val="18"/>
                <w:szCs w:val="18"/>
                <w:lang w:eastAsia="en-GB"/>
              </w:rPr>
              <w:t>Wellcome</w:t>
            </w:r>
            <w:proofErr w:type="spellEnd"/>
            <w:r w:rsidRPr="00356663">
              <w:rPr>
                <w:sz w:val="18"/>
                <w:szCs w:val="18"/>
                <w:lang w:eastAsia="en-GB"/>
              </w:rPr>
              <w:t xml:space="preserve"> Trust </w:t>
            </w:r>
            <w:proofErr w:type="spellStart"/>
            <w:r w:rsidRPr="00356663">
              <w:rPr>
                <w:sz w:val="18"/>
                <w:szCs w:val="18"/>
                <w:lang w:eastAsia="en-GB"/>
              </w:rPr>
              <w:t>etc</w:t>
            </w:r>
            <w:proofErr w:type="spellEnd"/>
            <w:r w:rsidRPr="00356663">
              <w:rPr>
                <w:sz w:val="18"/>
                <w:szCs w:val="18"/>
                <w:lang w:eastAsia="en-GB"/>
              </w:rPr>
              <w:t xml:space="preserve"> gold OA route.</w:t>
            </w:r>
          </w:p>
        </w:tc>
        <w:tc>
          <w:tcPr>
            <w:tcW w:w="3260" w:type="dxa"/>
          </w:tcPr>
          <w:p w14:paraId="31B582E2" w14:textId="77777777" w:rsidR="000C57B5" w:rsidRPr="00356663" w:rsidRDefault="000C57B5" w:rsidP="00DE27D9">
            <w:pPr>
              <w:spacing w:after="120"/>
              <w:rPr>
                <w:sz w:val="18"/>
                <w:szCs w:val="18"/>
                <w:lang w:eastAsia="en-GB"/>
              </w:rPr>
            </w:pPr>
            <w:r w:rsidRPr="00356663">
              <w:rPr>
                <w:b/>
                <w:sz w:val="18"/>
                <w:szCs w:val="18"/>
                <w:lang w:eastAsia="en-GB"/>
              </w:rPr>
              <w:t>Authors around the world are more likely to submit their best papers</w:t>
            </w:r>
            <w:r w:rsidRPr="00356663">
              <w:rPr>
                <w:sz w:val="18"/>
                <w:szCs w:val="18"/>
                <w:lang w:eastAsia="en-GB"/>
              </w:rPr>
              <w:t xml:space="preserve"> if they can be confident that the journal complies with their funder’s requirements.</w:t>
            </w:r>
          </w:p>
          <w:p w14:paraId="1B6AF384" w14:textId="77777777" w:rsidR="000C57B5" w:rsidRPr="00685069" w:rsidRDefault="000C57B5" w:rsidP="00DE27D9">
            <w:pPr>
              <w:spacing w:after="120"/>
              <w:rPr>
                <w:sz w:val="18"/>
                <w:szCs w:val="18"/>
                <w:lang w:eastAsia="en-GB"/>
              </w:rPr>
            </w:pPr>
            <w:r w:rsidRPr="00356663">
              <w:rPr>
                <w:sz w:val="18"/>
                <w:szCs w:val="18"/>
                <w:lang w:eastAsia="en-GB"/>
              </w:rPr>
              <w:t>(Also some kudos benefit to journal/ publisher if papers seen to be linked to prestigious funding.)</w:t>
            </w:r>
          </w:p>
        </w:tc>
      </w:tr>
    </w:tbl>
    <w:p w14:paraId="46E5D0CC" w14:textId="4206B3E1" w:rsidR="00B12A5D" w:rsidRPr="00B12A5D" w:rsidRDefault="00B12A5D" w:rsidP="000C57B5">
      <w:pPr>
        <w:pStyle w:val="JiscTable-FigureTitle"/>
      </w:pPr>
    </w:p>
    <w:sectPr w:rsidR="00B12A5D" w:rsidRPr="00B12A5D" w:rsidSect="005D68E1">
      <w:headerReference w:type="default" r:id="rId9"/>
      <w:footerReference w:type="default" r:id="rId10"/>
      <w:headerReference w:type="first" r:id="rId11"/>
      <w:footerReference w:type="first" r:id="rId12"/>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ADBD" w14:textId="77777777" w:rsidR="000D2D07" w:rsidRPr="000C2B7B" w:rsidRDefault="000D2D07" w:rsidP="000C2B7B">
      <w:pPr>
        <w:pStyle w:val="Footer"/>
      </w:pPr>
    </w:p>
  </w:endnote>
  <w:endnote w:type="continuationSeparator" w:id="0">
    <w:p w14:paraId="041E8378" w14:textId="77777777" w:rsidR="000D2D07" w:rsidRDefault="000D2D0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0D2D07" w:rsidRDefault="000D2D07"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E54ED8"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25D79C84" w:rsidR="000D2D07" w:rsidRPr="00C750DB" w:rsidRDefault="00F1734C" w:rsidP="007221FA">
    <w:pPr>
      <w:pStyle w:val="JiscFooter"/>
      <w:rPr>
        <w:b/>
        <w:color w:val="B71A8B"/>
      </w:rPr>
    </w:pPr>
    <w:r>
      <w:fldChar w:fldCharType="begin"/>
    </w:r>
    <w:r>
      <w:instrText xml:space="preserve"> STYLEREF  JiscTitle  \* MERGEFORMAT </w:instrText>
    </w:r>
    <w:r>
      <w:fldChar w:fldCharType="separate"/>
    </w:r>
    <w:r>
      <w:rPr>
        <w:noProof/>
      </w:rPr>
      <w:t>Introduction</w:t>
    </w:r>
    <w:r>
      <w:rPr>
        <w:noProof/>
      </w:rPr>
      <w:fldChar w:fldCharType="end"/>
    </w:r>
    <w:r w:rsidR="000D2D07" w:rsidRPr="0041573E">
      <w:rPr>
        <w:color w:val="E61554"/>
      </w:rPr>
      <w:tab/>
    </w:r>
    <w:r w:rsidR="000D2D07" w:rsidRPr="00691C62">
      <w:rPr>
        <w:b/>
        <w:color w:val="2C3841"/>
      </w:rPr>
      <w:fldChar w:fldCharType="begin"/>
    </w:r>
    <w:r w:rsidR="000D2D07" w:rsidRPr="00691C62">
      <w:rPr>
        <w:b/>
        <w:color w:val="2C3841"/>
      </w:rPr>
      <w:instrText xml:space="preserve"> PAGE  \* MERGEFORMAT </w:instrText>
    </w:r>
    <w:r w:rsidR="000D2D07" w:rsidRPr="00691C62">
      <w:rPr>
        <w:b/>
        <w:color w:val="2C3841"/>
      </w:rPr>
      <w:fldChar w:fldCharType="separate"/>
    </w:r>
    <w:r>
      <w:rPr>
        <w:b/>
        <w:noProof/>
        <w:color w:val="2C3841"/>
      </w:rPr>
      <w:t>6</w:t>
    </w:r>
    <w:r w:rsidR="000D2D07"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0D2D07" w:rsidRDefault="000D2D07" w:rsidP="005D68E1">
    <w:pPr>
      <w:pStyle w:val="JiscHeader"/>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5DD9C6"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237968B5" w:rsidR="000D2D07" w:rsidRPr="00C750DB" w:rsidRDefault="000D2D07" w:rsidP="007221FA">
    <w:pPr>
      <w:pStyle w:val="JiscFooter"/>
      <w:rPr>
        <w:b/>
        <w:color w:val="B71A8B"/>
      </w:rPr>
    </w:pP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F1734C">
      <w:rPr>
        <w:b/>
        <w:noProof/>
        <w:color w:val="2C3841"/>
      </w:rPr>
      <w:t>1</w:t>
    </w:r>
    <w:r w:rsidRPr="00691C62">
      <w:rPr>
        <w:b/>
        <w:color w:val="2C38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3018" w14:textId="77777777" w:rsidR="000D2D07" w:rsidRDefault="000D2D07" w:rsidP="007A22F6">
      <w:pPr>
        <w:spacing w:after="0" w:line="240" w:lineRule="auto"/>
      </w:pPr>
      <w:r>
        <w:separator/>
      </w:r>
    </w:p>
  </w:footnote>
  <w:footnote w:type="continuationSeparator" w:id="0">
    <w:p w14:paraId="69287E00" w14:textId="77777777" w:rsidR="000D2D07" w:rsidRDefault="000D2D07"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B166" w14:textId="77777777" w:rsidR="002D2DDA" w:rsidRPr="00183065" w:rsidRDefault="002D2DDA" w:rsidP="002D2DDA">
    <w:pPr>
      <w:pStyle w:val="JiscHeaderLine1"/>
    </w:pPr>
    <w:r w:rsidRPr="00183065">
      <w:rPr>
        <w:lang w:val="en-GB" w:eastAsia="en-GB"/>
      </w:rPr>
      <mc:AlternateContent>
        <mc:Choice Requires="wps">
          <w:drawing>
            <wp:anchor distT="4294967295" distB="4294967295" distL="114300" distR="114300" simplePos="0" relativeHeight="251692032"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C5BADA" id="Straight Connector 9" o:spid="_x0000_s1026" style="position:absolute;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691008"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924A37" id="Straight Connector 7"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183065">
      <w:rPr>
        <w:lang w:val="en-GB" w:eastAsia="en-GB"/>
      </w:rPr>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1734C">
      <w:fldChar w:fldCharType="begin"/>
    </w:r>
    <w:r w:rsidR="00F1734C">
      <w:instrText xml:space="preserve"> STYLEREF  JiscCoverTitle  \* MERGEFORMAT </w:instrText>
    </w:r>
    <w:r w:rsidR="00F1734C">
      <w:fldChar w:fldCharType="separate"/>
    </w:r>
    <w:r w:rsidR="00F1734C">
      <w:t>Open Access compliance: how publishers can help</w:t>
    </w:r>
    <w:r w:rsidR="00F1734C">
      <w:fldChar w:fldCharType="end"/>
    </w:r>
  </w:p>
  <w:p w14:paraId="02FCAD51" w14:textId="55491018" w:rsidR="000D2D07" w:rsidRPr="002D2DDA" w:rsidRDefault="00F1734C" w:rsidP="002D2DDA">
    <w:pPr>
      <w:pStyle w:val="JiscHeaderLine2"/>
    </w:pPr>
    <w:r>
      <w:fldChar w:fldCharType="begin"/>
    </w:r>
    <w:r>
      <w:instrText xml:space="preserve"> STYLEREF  JiscCoverSubtitle  \* MERGEFORMAT </w:instrText>
    </w:r>
    <w:r>
      <w:fldChar w:fldCharType="separate"/>
    </w:r>
    <w:r>
      <w:t>A summary of current desiderata as understood by Jisc, March 2015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D1E7" w14:textId="77777777" w:rsidR="002D2DDA" w:rsidRPr="00060BFC" w:rsidRDefault="002D2DDA" w:rsidP="002D2DDA">
    <w:pPr>
      <w:pStyle w:val="JiscHeaderLine1"/>
    </w:pPr>
    <w:r w:rsidRPr="00060BFC">
      <w:rPr>
        <w:lang w:val="en-GB" w:eastAsia="en-GB"/>
      </w:rPr>
      <mc:AlternateContent>
        <mc:Choice Requires="wps">
          <w:drawing>
            <wp:anchor distT="4294967295" distB="4294967295" distL="114300" distR="114300" simplePos="0" relativeHeight="251687936"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56B16E" id="Straight Connector 8" o:spid="_x0000_s1026" style="position:absolute;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sidRPr="00060BFC">
      <w:rPr>
        <w:lang w:val="en-GB" w:eastAsia="en-GB"/>
      </w:rPr>
      <mc:AlternateContent>
        <mc:Choice Requires="wps">
          <w:drawing>
            <wp:anchor distT="4294967295" distB="4294967295" distL="114300" distR="114300" simplePos="0" relativeHeight="251686912"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69155B" id="Straight Connector 1" o:spid="_x0000_s1026" style="position:absolute;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Pr="00060BFC">
      <w:rPr>
        <w:lang w:val="en-GB" w:eastAsia="en-GB"/>
      </w:rPr>
      <w:drawing>
        <wp:anchor distT="0" distB="0" distL="114300" distR="114300" simplePos="0" relativeHeight="251685888"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1734C">
      <w:fldChar w:fldCharType="begin"/>
    </w:r>
    <w:r w:rsidR="00F1734C">
      <w:instrText xml:space="preserve"> STYLEREF  JiscCoverTitle  \* MERGEFORMAT </w:instrText>
    </w:r>
    <w:r w:rsidR="00F1734C">
      <w:fldChar w:fldCharType="separate"/>
    </w:r>
    <w:r w:rsidR="00F1734C">
      <w:t>Open Access compliance: how publishers can help</w:t>
    </w:r>
    <w:r w:rsidR="00F1734C">
      <w:fldChar w:fldCharType="end"/>
    </w:r>
  </w:p>
  <w:p w14:paraId="4A3B5745" w14:textId="77777777" w:rsidR="002D2DDA" w:rsidRPr="00060BFC" w:rsidRDefault="00F1734C" w:rsidP="002D2DDA">
    <w:pPr>
      <w:pStyle w:val="JiscHeaderLine2"/>
    </w:pPr>
    <w:r>
      <w:fldChar w:fldCharType="begin"/>
    </w:r>
    <w:r>
      <w:instrText xml:space="preserve"> STYLEREF  JiscCoverSubtitle  \* MERGEFORMAT </w:instrText>
    </w:r>
    <w:r>
      <w:fldChar w:fldCharType="separate"/>
    </w:r>
    <w:r>
      <w:t>A summary of current desiderata as understood by Jisc, March 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8606932"/>
    <w:multiLevelType w:val="hybridMultilevel"/>
    <w:tmpl w:val="F52C5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89E2A78"/>
    <w:multiLevelType w:val="hybridMultilevel"/>
    <w:tmpl w:val="FE080962"/>
    <w:lvl w:ilvl="0" w:tplc="5A062EA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8065FE"/>
    <w:multiLevelType w:val="hybridMultilevel"/>
    <w:tmpl w:val="1D68602E"/>
    <w:lvl w:ilvl="0" w:tplc="5A062EA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04B05"/>
    <w:multiLevelType w:val="hybridMultilevel"/>
    <w:tmpl w:val="7A4C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nsid w:val="7A927ED0"/>
    <w:multiLevelType w:val="hybridMultilevel"/>
    <w:tmpl w:val="729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6"/>
  </w:num>
  <w:num w:numId="6">
    <w:abstractNumId w:val="16"/>
  </w:num>
  <w:num w:numId="7">
    <w:abstractNumId w:val="22"/>
  </w:num>
  <w:num w:numId="8">
    <w:abstractNumId w:val="4"/>
  </w:num>
  <w:num w:numId="9">
    <w:abstractNumId w:val="19"/>
  </w:num>
  <w:num w:numId="10">
    <w:abstractNumId w:val="8"/>
  </w:num>
  <w:num w:numId="11">
    <w:abstractNumId w:val="9"/>
  </w:num>
  <w:num w:numId="12">
    <w:abstractNumId w:val="13"/>
  </w:num>
  <w:num w:numId="13">
    <w:abstractNumId w:val="11"/>
  </w:num>
  <w:num w:numId="14">
    <w:abstractNumId w:val="12"/>
  </w:num>
  <w:num w:numId="15">
    <w:abstractNumId w:val="23"/>
  </w:num>
  <w:num w:numId="16">
    <w:abstractNumId w:val="10"/>
  </w:num>
  <w:num w:numId="17">
    <w:abstractNumId w:val="0"/>
  </w:num>
  <w:num w:numId="18">
    <w:abstractNumId w:val="21"/>
  </w:num>
  <w:num w:numId="19">
    <w:abstractNumId w:val="20"/>
  </w:num>
  <w:num w:numId="20">
    <w:abstractNumId w:val="25"/>
  </w:num>
  <w:num w:numId="21">
    <w:abstractNumId w:val="3"/>
  </w:num>
  <w:num w:numId="22">
    <w:abstractNumId w:val="1"/>
  </w:num>
  <w:num w:numId="23">
    <w:abstractNumId w:val="17"/>
  </w:num>
  <w:num w:numId="24">
    <w:abstractNumId w:val="15"/>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efaultTableStyle w:val="JiscBox1"/>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61B3"/>
    <w:rsid w:val="00016CB8"/>
    <w:rsid w:val="00030660"/>
    <w:rsid w:val="00031B6A"/>
    <w:rsid w:val="000326F3"/>
    <w:rsid w:val="00034826"/>
    <w:rsid w:val="00042CBE"/>
    <w:rsid w:val="000455CF"/>
    <w:rsid w:val="00054CDC"/>
    <w:rsid w:val="00061DAB"/>
    <w:rsid w:val="000626D0"/>
    <w:rsid w:val="00062D34"/>
    <w:rsid w:val="000634C5"/>
    <w:rsid w:val="0006674B"/>
    <w:rsid w:val="00066BC4"/>
    <w:rsid w:val="0007079C"/>
    <w:rsid w:val="00070BC0"/>
    <w:rsid w:val="000900A7"/>
    <w:rsid w:val="00091052"/>
    <w:rsid w:val="000B6C84"/>
    <w:rsid w:val="000C2B7B"/>
    <w:rsid w:val="000C57B5"/>
    <w:rsid w:val="000C5DD7"/>
    <w:rsid w:val="000D1362"/>
    <w:rsid w:val="000D2D07"/>
    <w:rsid w:val="000D6527"/>
    <w:rsid w:val="000D7079"/>
    <w:rsid w:val="000E039D"/>
    <w:rsid w:val="000E1101"/>
    <w:rsid w:val="000F5DE8"/>
    <w:rsid w:val="000F614D"/>
    <w:rsid w:val="001131A4"/>
    <w:rsid w:val="00114AA8"/>
    <w:rsid w:val="00115238"/>
    <w:rsid w:val="00145D4D"/>
    <w:rsid w:val="00150A86"/>
    <w:rsid w:val="001640BD"/>
    <w:rsid w:val="0017012F"/>
    <w:rsid w:val="00170D18"/>
    <w:rsid w:val="00171AE9"/>
    <w:rsid w:val="001825AF"/>
    <w:rsid w:val="00184455"/>
    <w:rsid w:val="0019197E"/>
    <w:rsid w:val="00192CC5"/>
    <w:rsid w:val="0019302F"/>
    <w:rsid w:val="001A5ACB"/>
    <w:rsid w:val="001B10AE"/>
    <w:rsid w:val="001B38B7"/>
    <w:rsid w:val="001B469B"/>
    <w:rsid w:val="001B77D9"/>
    <w:rsid w:val="001C05F2"/>
    <w:rsid w:val="001C1E10"/>
    <w:rsid w:val="001C39EB"/>
    <w:rsid w:val="001C600F"/>
    <w:rsid w:val="001D5D07"/>
    <w:rsid w:val="001D63C2"/>
    <w:rsid w:val="001D6DFE"/>
    <w:rsid w:val="001E219B"/>
    <w:rsid w:val="001E6A15"/>
    <w:rsid w:val="001E785D"/>
    <w:rsid w:val="001E7DAF"/>
    <w:rsid w:val="001F340F"/>
    <w:rsid w:val="001F43BB"/>
    <w:rsid w:val="00216F59"/>
    <w:rsid w:val="002242FF"/>
    <w:rsid w:val="002317DF"/>
    <w:rsid w:val="002355B8"/>
    <w:rsid w:val="0023561C"/>
    <w:rsid w:val="00240A42"/>
    <w:rsid w:val="00240F1C"/>
    <w:rsid w:val="0024405C"/>
    <w:rsid w:val="002464B2"/>
    <w:rsid w:val="002464F0"/>
    <w:rsid w:val="00247952"/>
    <w:rsid w:val="00250776"/>
    <w:rsid w:val="00264A89"/>
    <w:rsid w:val="00271CC4"/>
    <w:rsid w:val="002734E8"/>
    <w:rsid w:val="00274030"/>
    <w:rsid w:val="00276269"/>
    <w:rsid w:val="002765BA"/>
    <w:rsid w:val="00281B3C"/>
    <w:rsid w:val="00287CD8"/>
    <w:rsid w:val="002A31F4"/>
    <w:rsid w:val="002B7748"/>
    <w:rsid w:val="002C1983"/>
    <w:rsid w:val="002C267B"/>
    <w:rsid w:val="002D2DDA"/>
    <w:rsid w:val="002F5ACB"/>
    <w:rsid w:val="00311B8F"/>
    <w:rsid w:val="00317807"/>
    <w:rsid w:val="00324447"/>
    <w:rsid w:val="00325859"/>
    <w:rsid w:val="003274DB"/>
    <w:rsid w:val="0034249C"/>
    <w:rsid w:val="00345562"/>
    <w:rsid w:val="0036295A"/>
    <w:rsid w:val="00362EC6"/>
    <w:rsid w:val="00366861"/>
    <w:rsid w:val="0037008F"/>
    <w:rsid w:val="003705B1"/>
    <w:rsid w:val="0038319F"/>
    <w:rsid w:val="00391CB5"/>
    <w:rsid w:val="003958C7"/>
    <w:rsid w:val="003B0FD6"/>
    <w:rsid w:val="003C088B"/>
    <w:rsid w:val="003C4DB6"/>
    <w:rsid w:val="003D4A1B"/>
    <w:rsid w:val="003D7C04"/>
    <w:rsid w:val="003E51FE"/>
    <w:rsid w:val="003F391B"/>
    <w:rsid w:val="003F4653"/>
    <w:rsid w:val="00400390"/>
    <w:rsid w:val="0040079C"/>
    <w:rsid w:val="00404E44"/>
    <w:rsid w:val="00405BB0"/>
    <w:rsid w:val="004063A0"/>
    <w:rsid w:val="0041288C"/>
    <w:rsid w:val="00421290"/>
    <w:rsid w:val="004233CF"/>
    <w:rsid w:val="00427AD0"/>
    <w:rsid w:val="004522BA"/>
    <w:rsid w:val="004555C8"/>
    <w:rsid w:val="0046052D"/>
    <w:rsid w:val="00462E58"/>
    <w:rsid w:val="004678A7"/>
    <w:rsid w:val="004773FE"/>
    <w:rsid w:val="00482610"/>
    <w:rsid w:val="004913A4"/>
    <w:rsid w:val="004A4487"/>
    <w:rsid w:val="004B3233"/>
    <w:rsid w:val="004B7966"/>
    <w:rsid w:val="004C3BB6"/>
    <w:rsid w:val="004C5E18"/>
    <w:rsid w:val="004D2C09"/>
    <w:rsid w:val="004E170E"/>
    <w:rsid w:val="004E3DD6"/>
    <w:rsid w:val="004F33F3"/>
    <w:rsid w:val="00502150"/>
    <w:rsid w:val="00512220"/>
    <w:rsid w:val="00526712"/>
    <w:rsid w:val="00531B59"/>
    <w:rsid w:val="00534728"/>
    <w:rsid w:val="00536B7C"/>
    <w:rsid w:val="00553CB5"/>
    <w:rsid w:val="005547BF"/>
    <w:rsid w:val="00554930"/>
    <w:rsid w:val="00561425"/>
    <w:rsid w:val="005620E3"/>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15422"/>
    <w:rsid w:val="00621CA7"/>
    <w:rsid w:val="00627B22"/>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626FA"/>
    <w:rsid w:val="00771A79"/>
    <w:rsid w:val="00771CFA"/>
    <w:rsid w:val="00777735"/>
    <w:rsid w:val="00784854"/>
    <w:rsid w:val="00787050"/>
    <w:rsid w:val="0078732B"/>
    <w:rsid w:val="00787EB5"/>
    <w:rsid w:val="007A22F6"/>
    <w:rsid w:val="007A3D07"/>
    <w:rsid w:val="007B72A6"/>
    <w:rsid w:val="007C6590"/>
    <w:rsid w:val="007D1D4A"/>
    <w:rsid w:val="007D35C0"/>
    <w:rsid w:val="007E7377"/>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E76FF"/>
    <w:rsid w:val="00903D14"/>
    <w:rsid w:val="00903F8B"/>
    <w:rsid w:val="00907DF7"/>
    <w:rsid w:val="00913DDD"/>
    <w:rsid w:val="00915C37"/>
    <w:rsid w:val="00915CF9"/>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42E3"/>
    <w:rsid w:val="009F6553"/>
    <w:rsid w:val="009F6F75"/>
    <w:rsid w:val="00A048A8"/>
    <w:rsid w:val="00A11B29"/>
    <w:rsid w:val="00A1548D"/>
    <w:rsid w:val="00A214D3"/>
    <w:rsid w:val="00A238C7"/>
    <w:rsid w:val="00A320A5"/>
    <w:rsid w:val="00A33C4A"/>
    <w:rsid w:val="00A5494E"/>
    <w:rsid w:val="00A56509"/>
    <w:rsid w:val="00A61F57"/>
    <w:rsid w:val="00A654A9"/>
    <w:rsid w:val="00A65556"/>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792"/>
    <w:rsid w:val="00B21B8B"/>
    <w:rsid w:val="00B245F7"/>
    <w:rsid w:val="00B4182E"/>
    <w:rsid w:val="00B44DFE"/>
    <w:rsid w:val="00B57E4E"/>
    <w:rsid w:val="00B67333"/>
    <w:rsid w:val="00B722C2"/>
    <w:rsid w:val="00BA1957"/>
    <w:rsid w:val="00BD1E72"/>
    <w:rsid w:val="00BD648C"/>
    <w:rsid w:val="00BE73E2"/>
    <w:rsid w:val="00BF1D0D"/>
    <w:rsid w:val="00BF258B"/>
    <w:rsid w:val="00C00CD3"/>
    <w:rsid w:val="00C014D5"/>
    <w:rsid w:val="00C129F7"/>
    <w:rsid w:val="00C35692"/>
    <w:rsid w:val="00C36339"/>
    <w:rsid w:val="00C47716"/>
    <w:rsid w:val="00C47E6F"/>
    <w:rsid w:val="00C5066B"/>
    <w:rsid w:val="00C55D9B"/>
    <w:rsid w:val="00C56E91"/>
    <w:rsid w:val="00C6525E"/>
    <w:rsid w:val="00C665C5"/>
    <w:rsid w:val="00C71D55"/>
    <w:rsid w:val="00C726E4"/>
    <w:rsid w:val="00C750DB"/>
    <w:rsid w:val="00C87568"/>
    <w:rsid w:val="00CB3948"/>
    <w:rsid w:val="00CB685D"/>
    <w:rsid w:val="00CF19D7"/>
    <w:rsid w:val="00D14E8D"/>
    <w:rsid w:val="00D21744"/>
    <w:rsid w:val="00D272D4"/>
    <w:rsid w:val="00D3079F"/>
    <w:rsid w:val="00D35714"/>
    <w:rsid w:val="00D556B1"/>
    <w:rsid w:val="00D56054"/>
    <w:rsid w:val="00D65E55"/>
    <w:rsid w:val="00D704FF"/>
    <w:rsid w:val="00D773F1"/>
    <w:rsid w:val="00D827C0"/>
    <w:rsid w:val="00D94769"/>
    <w:rsid w:val="00D9690F"/>
    <w:rsid w:val="00D96E42"/>
    <w:rsid w:val="00D97579"/>
    <w:rsid w:val="00D97D5B"/>
    <w:rsid w:val="00DA62C8"/>
    <w:rsid w:val="00DB11F6"/>
    <w:rsid w:val="00DB3518"/>
    <w:rsid w:val="00DB51DF"/>
    <w:rsid w:val="00DC3639"/>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4FE6"/>
    <w:rsid w:val="00EB70B6"/>
    <w:rsid w:val="00EC235E"/>
    <w:rsid w:val="00EC47FA"/>
    <w:rsid w:val="00ED08CD"/>
    <w:rsid w:val="00ED0E05"/>
    <w:rsid w:val="00ED20FE"/>
    <w:rsid w:val="00ED45B4"/>
    <w:rsid w:val="00EE6C95"/>
    <w:rsid w:val="00EE7034"/>
    <w:rsid w:val="00F03363"/>
    <w:rsid w:val="00F04F41"/>
    <w:rsid w:val="00F11BCC"/>
    <w:rsid w:val="00F1734C"/>
    <w:rsid w:val="00F4269A"/>
    <w:rsid w:val="00F42A71"/>
    <w:rsid w:val="00F44B16"/>
    <w:rsid w:val="00F45621"/>
    <w:rsid w:val="00F546D5"/>
    <w:rsid w:val="00F71425"/>
    <w:rsid w:val="00F90078"/>
    <w:rsid w:val="00F94235"/>
    <w:rsid w:val="00FA32B5"/>
    <w:rsid w:val="00FA71C2"/>
    <w:rsid w:val="00FB65F0"/>
    <w:rsid w:val="00FC0F1F"/>
    <w:rsid w:val="00FC4376"/>
    <w:rsid w:val="00FE2E55"/>
    <w:rsid w:val="00FE3F93"/>
    <w:rsid w:val="00FF13F3"/>
    <w:rsid w:val="00FF254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BBA4A3"/>
  <w15:docId w15:val="{8CE462E3-3241-4F46-B019-252D8CC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o.org/workrooms/a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6B150E0B-8FB1-4327-86E8-82C79D3F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14330</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Neil Jacobs</cp:lastModifiedBy>
  <cp:revision>2</cp:revision>
  <cp:lastPrinted>2013-10-25T15:47:00Z</cp:lastPrinted>
  <dcterms:created xsi:type="dcterms:W3CDTF">2015-03-25T21:35:00Z</dcterms:created>
  <dcterms:modified xsi:type="dcterms:W3CDTF">2015-03-25T21:35:00Z</dcterms:modified>
</cp:coreProperties>
</file>