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5787" w14:textId="77777777" w:rsidR="00484F9D" w:rsidRDefault="00484F9D" w:rsidP="00484F9D">
      <w:pPr>
        <w:pStyle w:val="JiscCoverTitle"/>
        <w:rPr>
          <w:sz w:val="80"/>
          <w:szCs w:val="80"/>
        </w:rPr>
      </w:pPr>
    </w:p>
    <w:p w14:paraId="295687DF" w14:textId="77777777" w:rsidR="00D93469" w:rsidRDefault="00D93469" w:rsidP="00484F9D">
      <w:pPr>
        <w:pStyle w:val="JiscCoverTitle"/>
        <w:rPr>
          <w:sz w:val="80"/>
          <w:szCs w:val="80"/>
        </w:rPr>
      </w:pPr>
    </w:p>
    <w:p w14:paraId="77A747D5" w14:textId="77777777" w:rsidR="00602EFD" w:rsidRDefault="007E7377" w:rsidP="00484F9D">
      <w:pPr>
        <w:pStyle w:val="JiscCoverTitle"/>
        <w:rPr>
          <w:sz w:val="80"/>
          <w:szCs w:val="80"/>
        </w:rPr>
      </w:pPr>
      <w:r w:rsidRPr="007E7377">
        <w:rPr>
          <w:sz w:val="80"/>
          <w:szCs w:val="80"/>
        </w:rPr>
        <w:t xml:space="preserve">Open Access compliance: </w:t>
      </w:r>
    </w:p>
    <w:p w14:paraId="677B9DB4" w14:textId="77777777" w:rsidR="005D68E1" w:rsidRPr="006E6925" w:rsidRDefault="00AC1442" w:rsidP="00506B38">
      <w:pPr>
        <w:pStyle w:val="JiscCoverTitle"/>
        <w:rPr>
          <w:sz w:val="56"/>
          <w:szCs w:val="56"/>
        </w:rPr>
      </w:pPr>
      <w:r w:rsidRPr="006E6925">
        <w:rPr>
          <w:sz w:val="56"/>
          <w:szCs w:val="56"/>
        </w:rPr>
        <w:t>H</w:t>
      </w:r>
      <w:r w:rsidR="00484F9D" w:rsidRPr="006E6925">
        <w:rPr>
          <w:sz w:val="56"/>
          <w:szCs w:val="56"/>
        </w:rPr>
        <w:t xml:space="preserve">ow </w:t>
      </w:r>
      <w:r w:rsidR="007E7377" w:rsidRPr="006E6925">
        <w:rPr>
          <w:sz w:val="56"/>
          <w:szCs w:val="56"/>
        </w:rPr>
        <w:t xml:space="preserve">publishers can </w:t>
      </w:r>
      <w:r w:rsidR="00506B38" w:rsidRPr="006E6925">
        <w:rPr>
          <w:sz w:val="56"/>
          <w:szCs w:val="56"/>
        </w:rPr>
        <w:t>reach the</w:t>
      </w:r>
      <w:r w:rsidR="007E7377" w:rsidRPr="006E6925">
        <w:rPr>
          <w:sz w:val="56"/>
          <w:szCs w:val="56"/>
        </w:rPr>
        <w:t xml:space="preserve"> </w:t>
      </w:r>
      <w:r w:rsidR="006E6925" w:rsidRPr="006E6925">
        <w:rPr>
          <w:sz w:val="56"/>
          <w:szCs w:val="56"/>
        </w:rPr>
        <w:t>recommended</w:t>
      </w:r>
      <w:r w:rsidR="00754395" w:rsidRPr="006E6925">
        <w:rPr>
          <w:sz w:val="56"/>
          <w:szCs w:val="56"/>
        </w:rPr>
        <w:t xml:space="preserve"> </w:t>
      </w:r>
      <w:r w:rsidR="00506B38" w:rsidRPr="006E6925">
        <w:rPr>
          <w:sz w:val="56"/>
          <w:szCs w:val="56"/>
        </w:rPr>
        <w:t>standard</w:t>
      </w:r>
      <w:r w:rsidR="00211E0E" w:rsidRPr="006E6925">
        <w:rPr>
          <w:sz w:val="56"/>
          <w:szCs w:val="56"/>
        </w:rPr>
        <w:t>s</w:t>
      </w:r>
      <w:r w:rsidR="00754395" w:rsidRPr="006E6925">
        <w:rPr>
          <w:sz w:val="56"/>
          <w:szCs w:val="56"/>
        </w:rPr>
        <w:t xml:space="preserve"> </w:t>
      </w:r>
    </w:p>
    <w:p w14:paraId="0C5DEED1" w14:textId="4B8B5C1A" w:rsidR="005D68E1" w:rsidRDefault="007E7377" w:rsidP="005D68E1">
      <w:pPr>
        <w:pStyle w:val="JiscCoverSubtitle"/>
        <w:pBdr>
          <w:bottom w:val="single" w:sz="12" w:space="1" w:color="552481" w:themeColor="accent3"/>
        </w:pBdr>
        <w:tabs>
          <w:tab w:val="left" w:pos="6851"/>
        </w:tabs>
      </w:pPr>
      <w:r w:rsidRPr="007E7377">
        <w:t xml:space="preserve">Jisc, </w:t>
      </w:r>
      <w:r w:rsidR="005C5584">
        <w:t xml:space="preserve">April </w:t>
      </w:r>
      <w:r w:rsidRPr="007E7377">
        <w:t>201</w:t>
      </w:r>
      <w:r w:rsidR="00D947FF">
        <w:t>6</w:t>
      </w:r>
      <w:r w:rsidR="005C5584">
        <w:t>. Draft</w:t>
      </w:r>
    </w:p>
    <w:p w14:paraId="0A9F7509" w14:textId="77777777" w:rsidR="00211E0E" w:rsidRDefault="00211E0E" w:rsidP="005D68E1">
      <w:pPr>
        <w:pStyle w:val="JiscCoverSubtitle"/>
        <w:pBdr>
          <w:bottom w:val="single" w:sz="12" w:space="1" w:color="552481" w:themeColor="accent3"/>
        </w:pBdr>
        <w:tabs>
          <w:tab w:val="left" w:pos="6851"/>
        </w:tabs>
      </w:pPr>
    </w:p>
    <w:p w14:paraId="22599B16" w14:textId="77777777" w:rsidR="005D68E1" w:rsidRPr="00643171" w:rsidRDefault="001D3A63" w:rsidP="00643171">
      <w:pPr>
        <w:pStyle w:val="Heading1"/>
      </w:pPr>
      <w:r>
        <w:t>Summary</w:t>
      </w:r>
    </w:p>
    <w:p w14:paraId="73DDA3A8" w14:textId="5916D778" w:rsidR="00D525EA" w:rsidRPr="00D525EA" w:rsidRDefault="007E7377" w:rsidP="00D525EA">
      <w:pPr>
        <w:spacing w:after="120" w:line="240" w:lineRule="auto"/>
        <w:rPr>
          <w:sz w:val="22"/>
        </w:rPr>
      </w:pPr>
      <w:r w:rsidRPr="00D525EA">
        <w:rPr>
          <w:color w:val="auto"/>
          <w:sz w:val="22"/>
        </w:rPr>
        <w:t xml:space="preserve">This document </w:t>
      </w:r>
      <w:r w:rsidR="000E067D" w:rsidRPr="00D525EA">
        <w:rPr>
          <w:color w:val="auto"/>
          <w:sz w:val="22"/>
        </w:rPr>
        <w:t>outlines what</w:t>
      </w:r>
      <w:r w:rsidRPr="00D525EA">
        <w:rPr>
          <w:color w:val="auto"/>
          <w:sz w:val="22"/>
        </w:rPr>
        <w:t xml:space="preserve"> publishers </w:t>
      </w:r>
      <w:r w:rsidR="000E067D" w:rsidRPr="00D525EA">
        <w:rPr>
          <w:color w:val="auto"/>
          <w:sz w:val="22"/>
        </w:rPr>
        <w:t>might</w:t>
      </w:r>
      <w:r w:rsidR="000C2228" w:rsidRPr="00D525EA">
        <w:rPr>
          <w:color w:val="auto"/>
          <w:sz w:val="22"/>
        </w:rPr>
        <w:t xml:space="preserve"> </w:t>
      </w:r>
      <w:r w:rsidRPr="00D525EA">
        <w:rPr>
          <w:color w:val="auto"/>
          <w:sz w:val="22"/>
        </w:rPr>
        <w:t>do</w:t>
      </w:r>
      <w:r w:rsidR="000C2228" w:rsidRPr="00D525EA">
        <w:rPr>
          <w:color w:val="auto"/>
          <w:sz w:val="22"/>
        </w:rPr>
        <w:t xml:space="preserve"> to</w:t>
      </w:r>
      <w:r w:rsidRPr="00D525EA">
        <w:rPr>
          <w:color w:val="auto"/>
          <w:sz w:val="22"/>
        </w:rPr>
        <w:t xml:space="preserve"> help authors and institutions</w:t>
      </w:r>
      <w:r w:rsidR="008E109C" w:rsidRPr="00D525EA">
        <w:rPr>
          <w:color w:val="auto"/>
          <w:sz w:val="22"/>
        </w:rPr>
        <w:t xml:space="preserve"> globally</w:t>
      </w:r>
      <w:r w:rsidRPr="00D525EA">
        <w:rPr>
          <w:color w:val="auto"/>
          <w:sz w:val="22"/>
        </w:rPr>
        <w:t xml:space="preserve"> implement O</w:t>
      </w:r>
      <w:r w:rsidR="001D3A63" w:rsidRPr="00D525EA">
        <w:rPr>
          <w:color w:val="auto"/>
          <w:sz w:val="22"/>
        </w:rPr>
        <w:t xml:space="preserve">pen </w:t>
      </w:r>
      <w:r w:rsidRPr="00D525EA">
        <w:rPr>
          <w:color w:val="auto"/>
          <w:sz w:val="22"/>
        </w:rPr>
        <w:t>A</w:t>
      </w:r>
      <w:r w:rsidR="001D3A63" w:rsidRPr="00D525EA">
        <w:rPr>
          <w:color w:val="auto"/>
          <w:sz w:val="22"/>
        </w:rPr>
        <w:t>ccess (OA)</w:t>
      </w:r>
      <w:r w:rsidR="0025059B" w:rsidRPr="00D525EA">
        <w:rPr>
          <w:color w:val="auto"/>
          <w:sz w:val="22"/>
        </w:rPr>
        <w:t>,</w:t>
      </w:r>
      <w:r w:rsidR="001D3A63" w:rsidRPr="00D525EA">
        <w:rPr>
          <w:color w:val="auto"/>
          <w:sz w:val="22"/>
        </w:rPr>
        <w:t xml:space="preserve"> </w:t>
      </w:r>
      <w:r w:rsidRPr="00D525EA">
        <w:rPr>
          <w:color w:val="auto"/>
          <w:sz w:val="22"/>
        </w:rPr>
        <w:t>reduce</w:t>
      </w:r>
      <w:r w:rsidR="000C2228" w:rsidRPr="00D525EA">
        <w:rPr>
          <w:color w:val="auto"/>
          <w:sz w:val="22"/>
        </w:rPr>
        <w:t xml:space="preserve"> the</w:t>
      </w:r>
      <w:r w:rsidRPr="00D525EA">
        <w:rPr>
          <w:color w:val="auto"/>
          <w:sz w:val="22"/>
        </w:rPr>
        <w:t xml:space="preserve"> administrative burden, </w:t>
      </w:r>
      <w:r w:rsidR="000C2228" w:rsidRPr="00D525EA">
        <w:rPr>
          <w:color w:val="auto"/>
          <w:sz w:val="22"/>
        </w:rPr>
        <w:t xml:space="preserve">and </w:t>
      </w:r>
      <w:r w:rsidRPr="00D525EA">
        <w:rPr>
          <w:color w:val="auto"/>
          <w:sz w:val="22"/>
        </w:rPr>
        <w:t>tak</w:t>
      </w:r>
      <w:r w:rsidR="000C2228" w:rsidRPr="00D525EA">
        <w:rPr>
          <w:color w:val="auto"/>
          <w:sz w:val="22"/>
        </w:rPr>
        <w:t>e</w:t>
      </w:r>
      <w:r w:rsidRPr="00D525EA">
        <w:rPr>
          <w:color w:val="auto"/>
          <w:sz w:val="22"/>
        </w:rPr>
        <w:t xml:space="preserve"> some of the friction out of the current arrangements.  It has been collated</w:t>
      </w:r>
      <w:r w:rsidR="000C2228" w:rsidRPr="00D525EA">
        <w:rPr>
          <w:color w:val="auto"/>
          <w:sz w:val="22"/>
        </w:rPr>
        <w:t xml:space="preserve"> by Jisc following </w:t>
      </w:r>
      <w:r w:rsidRPr="00D525EA">
        <w:rPr>
          <w:color w:val="auto"/>
          <w:sz w:val="22"/>
        </w:rPr>
        <w:t xml:space="preserve">discussions with those implementing OA in UK universities, and </w:t>
      </w:r>
      <w:r w:rsidR="000C2228" w:rsidRPr="00D525EA">
        <w:rPr>
          <w:color w:val="auto"/>
          <w:sz w:val="22"/>
        </w:rPr>
        <w:t xml:space="preserve">with </w:t>
      </w:r>
      <w:r w:rsidRPr="00D525EA">
        <w:rPr>
          <w:color w:val="auto"/>
          <w:sz w:val="22"/>
        </w:rPr>
        <w:t xml:space="preserve">considerable assistance from </w:t>
      </w:r>
      <w:r w:rsidR="00764935" w:rsidRPr="00D525EA">
        <w:rPr>
          <w:color w:val="auto"/>
          <w:sz w:val="22"/>
        </w:rPr>
        <w:t>the Research Libraries UK (</w:t>
      </w:r>
      <w:r w:rsidRPr="00D525EA">
        <w:rPr>
          <w:color w:val="auto"/>
          <w:sz w:val="22"/>
        </w:rPr>
        <w:t>RLUK</w:t>
      </w:r>
      <w:r w:rsidR="00764935" w:rsidRPr="00D525EA">
        <w:rPr>
          <w:color w:val="auto"/>
          <w:sz w:val="22"/>
        </w:rPr>
        <w:t>)</w:t>
      </w:r>
      <w:r w:rsidR="00D947FF" w:rsidRPr="00D525EA">
        <w:rPr>
          <w:color w:val="auto"/>
          <w:sz w:val="22"/>
        </w:rPr>
        <w:t xml:space="preserve">, RLUK members, </w:t>
      </w:r>
      <w:r w:rsidR="00764935" w:rsidRPr="00D525EA">
        <w:rPr>
          <w:color w:val="auto"/>
          <w:sz w:val="22"/>
        </w:rPr>
        <w:t>the Association for Research Managers and Administrators (</w:t>
      </w:r>
      <w:r w:rsidR="00D947FF" w:rsidRPr="00D525EA">
        <w:rPr>
          <w:color w:val="auto"/>
          <w:sz w:val="22"/>
        </w:rPr>
        <w:t>ARMA</w:t>
      </w:r>
      <w:r w:rsidR="00764935" w:rsidRPr="00D525EA">
        <w:rPr>
          <w:color w:val="auto"/>
          <w:sz w:val="22"/>
        </w:rPr>
        <w:t>)</w:t>
      </w:r>
      <w:r w:rsidRPr="00D525EA">
        <w:rPr>
          <w:color w:val="auto"/>
          <w:sz w:val="22"/>
        </w:rPr>
        <w:t xml:space="preserve"> </w:t>
      </w:r>
      <w:r w:rsidR="00D947FF" w:rsidRPr="00D525EA">
        <w:rPr>
          <w:color w:val="auto"/>
          <w:sz w:val="22"/>
        </w:rPr>
        <w:t xml:space="preserve">and </w:t>
      </w:r>
      <w:r w:rsidR="006404F4" w:rsidRPr="00D525EA">
        <w:rPr>
          <w:color w:val="auto"/>
          <w:sz w:val="22"/>
        </w:rPr>
        <w:t>research</w:t>
      </w:r>
      <w:r w:rsidRPr="00D525EA">
        <w:rPr>
          <w:color w:val="auto"/>
          <w:sz w:val="22"/>
        </w:rPr>
        <w:t xml:space="preserve"> </w:t>
      </w:r>
      <w:r w:rsidR="000C2228" w:rsidRPr="00D525EA">
        <w:rPr>
          <w:color w:val="auto"/>
          <w:sz w:val="22"/>
        </w:rPr>
        <w:t>libraries</w:t>
      </w:r>
      <w:r w:rsidR="00D947FF" w:rsidRPr="00D525EA">
        <w:rPr>
          <w:color w:val="auto"/>
          <w:sz w:val="22"/>
        </w:rPr>
        <w:t>.</w:t>
      </w:r>
      <w:r w:rsidR="00764935" w:rsidRPr="00D525EA">
        <w:rPr>
          <w:color w:val="auto"/>
          <w:sz w:val="22"/>
        </w:rPr>
        <w:t xml:space="preserve"> </w:t>
      </w:r>
      <w:r w:rsidR="00CD3E93" w:rsidRPr="00D525EA">
        <w:rPr>
          <w:color w:val="auto"/>
          <w:sz w:val="22"/>
        </w:rPr>
        <w:t xml:space="preserve">In addition, these recommendations reflect the comments received </w:t>
      </w:r>
      <w:r w:rsidR="00764935" w:rsidRPr="00D525EA">
        <w:rPr>
          <w:color w:val="auto"/>
          <w:sz w:val="22"/>
        </w:rPr>
        <w:t>from consortia worldwide engaged with OA as well as from</w:t>
      </w:r>
      <w:r w:rsidR="00CD3E93" w:rsidRPr="00D525EA">
        <w:rPr>
          <w:color w:val="auto"/>
          <w:sz w:val="22"/>
        </w:rPr>
        <w:t xml:space="preserve"> international </w:t>
      </w:r>
      <w:r w:rsidR="00764935" w:rsidRPr="00D525EA">
        <w:rPr>
          <w:color w:val="auto"/>
          <w:sz w:val="22"/>
        </w:rPr>
        <w:t>stakeholders which</w:t>
      </w:r>
      <w:r w:rsidR="00D947FF" w:rsidRPr="00D525EA">
        <w:rPr>
          <w:color w:val="auto"/>
          <w:sz w:val="22"/>
        </w:rPr>
        <w:t xml:space="preserve"> </w:t>
      </w:r>
      <w:r w:rsidR="00764935" w:rsidRPr="00D525EA">
        <w:rPr>
          <w:color w:val="auto"/>
          <w:sz w:val="22"/>
        </w:rPr>
        <w:t>include</w:t>
      </w:r>
      <w:r w:rsidR="00D947FF" w:rsidRPr="00D525EA">
        <w:rPr>
          <w:color w:val="auto"/>
          <w:sz w:val="22"/>
        </w:rPr>
        <w:t xml:space="preserve"> the</w:t>
      </w:r>
      <w:r w:rsidR="00CD3E93" w:rsidRPr="00D525EA">
        <w:rPr>
          <w:color w:val="auto"/>
          <w:sz w:val="22"/>
        </w:rPr>
        <w:t xml:space="preserve"> Federation of the Finnish Learned Societies</w:t>
      </w:r>
      <w:r w:rsidR="00D947FF" w:rsidRPr="00D525EA">
        <w:rPr>
          <w:color w:val="auto"/>
          <w:sz w:val="22"/>
        </w:rPr>
        <w:t xml:space="preserve">, the </w:t>
      </w:r>
      <w:r w:rsidR="00CD3E93" w:rsidRPr="00D525EA">
        <w:rPr>
          <w:color w:val="auto"/>
          <w:sz w:val="22"/>
        </w:rPr>
        <w:t>National Library of Sweden</w:t>
      </w:r>
      <w:r w:rsidR="00D947FF" w:rsidRPr="00D525EA">
        <w:rPr>
          <w:color w:val="auto"/>
          <w:sz w:val="22"/>
        </w:rPr>
        <w:t xml:space="preserve"> and the German </w:t>
      </w:r>
      <w:r w:rsidR="00CD3E93" w:rsidRPr="00D525EA">
        <w:rPr>
          <w:color w:val="auto"/>
          <w:sz w:val="22"/>
        </w:rPr>
        <w:t>University of Regensburg</w:t>
      </w:r>
      <w:r w:rsidR="00D525EA">
        <w:rPr>
          <w:color w:val="auto"/>
          <w:sz w:val="22"/>
        </w:rPr>
        <w:t>.</w:t>
      </w:r>
      <w:r w:rsidR="00D525EA" w:rsidRPr="00D525EA">
        <w:rPr>
          <w:color w:val="auto"/>
          <w:sz w:val="22"/>
        </w:rPr>
        <w:t xml:space="preserve"> </w:t>
      </w:r>
    </w:p>
    <w:p w14:paraId="15417B61" w14:textId="258B4F33" w:rsidR="00B3585A" w:rsidRDefault="000C2228" w:rsidP="0057725D">
      <w:pPr>
        <w:pStyle w:val="Delete"/>
        <w:tabs>
          <w:tab w:val="left" w:pos="11766"/>
        </w:tabs>
        <w:spacing w:before="0" w:after="180"/>
        <w:rPr>
          <w:color w:val="auto"/>
        </w:rPr>
      </w:pPr>
      <w:r>
        <w:rPr>
          <w:color w:val="auto"/>
        </w:rPr>
        <w:t>W</w:t>
      </w:r>
      <w:r w:rsidR="007E7377" w:rsidRPr="007E7377">
        <w:rPr>
          <w:color w:val="auto"/>
        </w:rPr>
        <w:t xml:space="preserve">hile we acknowledge that this is a fast-changing area, </w:t>
      </w:r>
      <w:r w:rsidR="0033699A">
        <w:rPr>
          <w:color w:val="auto"/>
        </w:rPr>
        <w:t>our intention is to</w:t>
      </w:r>
      <w:r w:rsidR="000E067D">
        <w:rPr>
          <w:color w:val="auto"/>
        </w:rPr>
        <w:t xml:space="preserve"> crystal</w:t>
      </w:r>
      <w:r w:rsidR="007E7377" w:rsidRPr="007E7377">
        <w:rPr>
          <w:color w:val="auto"/>
        </w:rPr>
        <w:t xml:space="preserve">lise </w:t>
      </w:r>
      <w:r w:rsidR="008E109C">
        <w:rPr>
          <w:color w:val="auto"/>
        </w:rPr>
        <w:t>the best</w:t>
      </w:r>
      <w:r w:rsidR="007E7377" w:rsidRPr="007E7377">
        <w:rPr>
          <w:color w:val="auto"/>
        </w:rPr>
        <w:t xml:space="preserve"> steps that publishers could take </w:t>
      </w:r>
      <w:r w:rsidR="0033699A">
        <w:rPr>
          <w:color w:val="auto"/>
        </w:rPr>
        <w:t>to provide</w:t>
      </w:r>
      <w:r w:rsidR="007E7377" w:rsidRPr="007E7377">
        <w:rPr>
          <w:color w:val="auto"/>
        </w:rPr>
        <w:t xml:space="preserve"> lasting benefit for their customers</w:t>
      </w:r>
      <w:r w:rsidR="00B3585A">
        <w:rPr>
          <w:color w:val="auto"/>
        </w:rPr>
        <w:t xml:space="preserve"> and likely attract submissions from authors wishing to meet OA funder requirements</w:t>
      </w:r>
      <w:r w:rsidR="001D3A63">
        <w:rPr>
          <w:color w:val="auto"/>
        </w:rPr>
        <w:t xml:space="preserve">.  </w:t>
      </w:r>
      <w:r w:rsidR="00B3585A">
        <w:rPr>
          <w:color w:val="auto"/>
        </w:rPr>
        <w:t xml:space="preserve">The recommendations also reflect a consultation with members of </w:t>
      </w:r>
      <w:r w:rsidR="00764935">
        <w:rPr>
          <w:color w:val="auto"/>
        </w:rPr>
        <w:t xml:space="preserve">the </w:t>
      </w:r>
      <w:r w:rsidR="00764935" w:rsidRPr="00764935">
        <w:rPr>
          <w:color w:val="auto"/>
        </w:rPr>
        <w:t xml:space="preserve">Association of Learned and Professional Society Publishers </w:t>
      </w:r>
      <w:r w:rsidR="00764935">
        <w:rPr>
          <w:color w:val="auto"/>
        </w:rPr>
        <w:t>(</w:t>
      </w:r>
      <w:r w:rsidR="00B3585A">
        <w:rPr>
          <w:color w:val="auto"/>
        </w:rPr>
        <w:t>APLSP</w:t>
      </w:r>
      <w:r w:rsidR="00764935">
        <w:rPr>
          <w:color w:val="auto"/>
        </w:rPr>
        <w:t>)</w:t>
      </w:r>
      <w:r w:rsidR="00B3585A">
        <w:rPr>
          <w:color w:val="auto"/>
        </w:rPr>
        <w:t xml:space="preserve"> and the </w:t>
      </w:r>
      <w:r w:rsidR="00764935" w:rsidRPr="00764935">
        <w:rPr>
          <w:color w:val="auto"/>
        </w:rPr>
        <w:t xml:space="preserve">Publishers Association </w:t>
      </w:r>
      <w:r w:rsidR="00764935">
        <w:rPr>
          <w:color w:val="auto"/>
        </w:rPr>
        <w:t>(</w:t>
      </w:r>
      <w:r w:rsidR="00B3585A">
        <w:rPr>
          <w:color w:val="auto"/>
        </w:rPr>
        <w:t>PA</w:t>
      </w:r>
      <w:r w:rsidR="00764935">
        <w:rPr>
          <w:color w:val="auto"/>
        </w:rPr>
        <w:t>)</w:t>
      </w:r>
      <w:r w:rsidR="00B3585A">
        <w:rPr>
          <w:color w:val="auto"/>
        </w:rPr>
        <w:t xml:space="preserve"> </w:t>
      </w:r>
      <w:r w:rsidR="00B3585A" w:rsidRPr="001D3A63">
        <w:rPr>
          <w:color w:val="auto"/>
        </w:rPr>
        <w:t>on 8 June 2015.</w:t>
      </w:r>
      <w:r w:rsidR="00B3585A">
        <w:rPr>
          <w:color w:val="auto"/>
        </w:rPr>
        <w:t xml:space="preserve"> </w:t>
      </w:r>
      <w:r w:rsidR="00C80136">
        <w:rPr>
          <w:color w:val="auto"/>
        </w:rPr>
        <w:t>It is acknowledged that</w:t>
      </w:r>
      <w:r w:rsidR="001D3A63">
        <w:rPr>
          <w:color w:val="auto"/>
        </w:rPr>
        <w:t xml:space="preserve"> compliance with OA policies is</w:t>
      </w:r>
      <w:r w:rsidR="007E7377" w:rsidRPr="007E7377">
        <w:rPr>
          <w:color w:val="auto"/>
        </w:rPr>
        <w:t xml:space="preserve"> the responsibility of those covered by those policies, mainly researchers and their institutions. </w:t>
      </w:r>
    </w:p>
    <w:p w14:paraId="4EAEA050" w14:textId="6C6A24C7" w:rsidR="00B83E8C" w:rsidRDefault="007E7377" w:rsidP="0057725D">
      <w:pPr>
        <w:pStyle w:val="Delete"/>
        <w:spacing w:before="0" w:after="180"/>
        <w:rPr>
          <w:color w:val="auto"/>
        </w:rPr>
      </w:pPr>
      <w:r w:rsidRPr="007E7377">
        <w:rPr>
          <w:color w:val="auto"/>
        </w:rPr>
        <w:t xml:space="preserve">A table of the ways in which the </w:t>
      </w:r>
      <w:r w:rsidR="00920D20">
        <w:rPr>
          <w:color w:val="auto"/>
        </w:rPr>
        <w:t xml:space="preserve">academic research </w:t>
      </w:r>
      <w:r w:rsidRPr="007E7377">
        <w:rPr>
          <w:color w:val="auto"/>
        </w:rPr>
        <w:t>sector is asking for publishers’ help</w:t>
      </w:r>
      <w:r w:rsidR="00B83E8C">
        <w:rPr>
          <w:color w:val="auto"/>
        </w:rPr>
        <w:t xml:space="preserve"> in reaching OA </w:t>
      </w:r>
      <w:r w:rsidR="004812D8">
        <w:rPr>
          <w:color w:val="auto"/>
        </w:rPr>
        <w:t>s</w:t>
      </w:r>
      <w:r w:rsidR="00B83E8C">
        <w:rPr>
          <w:color w:val="auto"/>
        </w:rPr>
        <w:t>tandards</w:t>
      </w:r>
      <w:r w:rsidRPr="007E7377">
        <w:rPr>
          <w:color w:val="auto"/>
        </w:rPr>
        <w:t xml:space="preserve"> is </w:t>
      </w:r>
      <w:r w:rsidR="00B83E8C">
        <w:rPr>
          <w:color w:val="auto"/>
        </w:rPr>
        <w:t>shown</w:t>
      </w:r>
      <w:r w:rsidRPr="007E7377">
        <w:rPr>
          <w:color w:val="auto"/>
        </w:rPr>
        <w:t xml:space="preserve"> </w:t>
      </w:r>
      <w:r w:rsidR="00156A33">
        <w:rPr>
          <w:color w:val="auto"/>
        </w:rPr>
        <w:t>below, re</w:t>
      </w:r>
      <w:r w:rsidR="001D3A63">
        <w:rPr>
          <w:color w:val="auto"/>
        </w:rPr>
        <w:t>f</w:t>
      </w:r>
      <w:r w:rsidR="00B83E8C">
        <w:rPr>
          <w:color w:val="auto"/>
        </w:rPr>
        <w:t>lecting</w:t>
      </w:r>
      <w:r w:rsidR="00085FDC">
        <w:rPr>
          <w:color w:val="auto"/>
        </w:rPr>
        <w:t xml:space="preserve"> current</w:t>
      </w:r>
      <w:r w:rsidR="00B83E8C">
        <w:rPr>
          <w:color w:val="auto"/>
        </w:rPr>
        <w:t xml:space="preserve"> best practice in OA.  Any major developments to these will be communicated.  Otherwise this document will be reviewed</w:t>
      </w:r>
      <w:r w:rsidR="000E067D">
        <w:rPr>
          <w:color w:val="auto"/>
        </w:rPr>
        <w:t>,</w:t>
      </w:r>
      <w:r w:rsidR="00B83E8C">
        <w:rPr>
          <w:color w:val="auto"/>
        </w:rPr>
        <w:t xml:space="preserve"> updated </w:t>
      </w:r>
      <w:r w:rsidR="000E067D">
        <w:rPr>
          <w:color w:val="auto"/>
        </w:rPr>
        <w:t xml:space="preserve">and </w:t>
      </w:r>
      <w:r w:rsidR="006404F4">
        <w:rPr>
          <w:color w:val="auto"/>
        </w:rPr>
        <w:t xml:space="preserve">the changes </w:t>
      </w:r>
      <w:r w:rsidR="000E067D">
        <w:rPr>
          <w:color w:val="auto"/>
        </w:rPr>
        <w:t xml:space="preserve">communicated </w:t>
      </w:r>
      <w:r w:rsidR="00B83E8C">
        <w:rPr>
          <w:color w:val="auto"/>
        </w:rPr>
        <w:t>annually.</w:t>
      </w:r>
    </w:p>
    <w:p w14:paraId="1C48F82E" w14:textId="1C47BF44" w:rsidR="00156A33" w:rsidRDefault="00156A33" w:rsidP="0057725D">
      <w:pPr>
        <w:pStyle w:val="Delete"/>
        <w:spacing w:before="0" w:after="180"/>
        <w:rPr>
          <w:color w:val="auto"/>
        </w:rPr>
      </w:pPr>
      <w:r>
        <w:rPr>
          <w:color w:val="auto"/>
        </w:rPr>
        <w:t xml:space="preserve">We </w:t>
      </w:r>
      <w:r w:rsidR="00EE557A">
        <w:rPr>
          <w:color w:val="auto"/>
        </w:rPr>
        <w:t>plan to develop</w:t>
      </w:r>
      <w:r>
        <w:rPr>
          <w:color w:val="auto"/>
        </w:rPr>
        <w:t xml:space="preserve"> dedicated web pages to explain these </w:t>
      </w:r>
      <w:r w:rsidR="004812D8">
        <w:rPr>
          <w:color w:val="auto"/>
        </w:rPr>
        <w:t xml:space="preserve">recommended </w:t>
      </w:r>
      <w:r>
        <w:rPr>
          <w:color w:val="auto"/>
        </w:rPr>
        <w:t>standards</w:t>
      </w:r>
      <w:r w:rsidR="00EE557A">
        <w:rPr>
          <w:color w:val="auto"/>
        </w:rPr>
        <w:t xml:space="preserve">.  They will also be </w:t>
      </w:r>
      <w:r>
        <w:rPr>
          <w:color w:val="auto"/>
        </w:rPr>
        <w:t>a place where publishers can register their interest and compliance relating to the different requirements.  In this way the global community can be kept informed and the evolving issues raised and discussed</w:t>
      </w:r>
      <w:r w:rsidR="00E80DE0">
        <w:rPr>
          <w:color w:val="auto"/>
        </w:rPr>
        <w:t xml:space="preserve"> at a global level</w:t>
      </w:r>
      <w:r>
        <w:rPr>
          <w:color w:val="auto"/>
        </w:rPr>
        <w:t>.</w:t>
      </w:r>
    </w:p>
    <w:p w14:paraId="756CFB62" w14:textId="77777777" w:rsidR="00B83E8C" w:rsidRPr="007E7377" w:rsidRDefault="00B83E8C" w:rsidP="0057725D">
      <w:pPr>
        <w:pStyle w:val="Delete"/>
        <w:spacing w:before="0" w:after="240"/>
        <w:rPr>
          <w:color w:val="auto"/>
        </w:rPr>
      </w:pPr>
    </w:p>
    <w:tbl>
      <w:tblPr>
        <w:tblStyle w:val="TableGrid"/>
        <w:tblW w:w="15101" w:type="dxa"/>
        <w:tblLayout w:type="fixed"/>
        <w:tblLook w:val="04A0" w:firstRow="1" w:lastRow="0" w:firstColumn="1" w:lastColumn="0" w:noHBand="0" w:noVBand="1"/>
      </w:tblPr>
      <w:tblGrid>
        <w:gridCol w:w="320"/>
        <w:gridCol w:w="4008"/>
        <w:gridCol w:w="4110"/>
        <w:gridCol w:w="6663"/>
      </w:tblGrid>
      <w:tr w:rsidR="005C5584" w:rsidRPr="00C9265C" w14:paraId="2DEEC7BB" w14:textId="77777777" w:rsidTr="005C5584">
        <w:trPr>
          <w:cnfStyle w:val="100000000000" w:firstRow="1" w:lastRow="0" w:firstColumn="0" w:lastColumn="0" w:oddVBand="0" w:evenVBand="0" w:oddHBand="0" w:evenHBand="0" w:firstRowFirstColumn="0" w:firstRowLastColumn="0" w:lastRowFirstColumn="0" w:lastRowLastColumn="0"/>
          <w:cantSplit/>
          <w:trHeight w:val="315"/>
        </w:trPr>
        <w:tc>
          <w:tcPr>
            <w:tcW w:w="320" w:type="dxa"/>
            <w:hideMark/>
          </w:tcPr>
          <w:p w14:paraId="70F4D98E" w14:textId="77777777" w:rsidR="005C5584" w:rsidRPr="00C9265C" w:rsidRDefault="005C5584" w:rsidP="003B1E17">
            <w:pPr>
              <w:rPr>
                <w:rFonts w:ascii="Calibri" w:eastAsia="Times New Roman" w:hAnsi="Calibri" w:cs="Arial"/>
                <w:b w:val="0"/>
                <w:bCs/>
                <w:color w:val="000000"/>
                <w:lang w:eastAsia="en-GB"/>
              </w:rPr>
            </w:pPr>
            <w:r w:rsidRPr="00C9265C">
              <w:rPr>
                <w:rFonts w:ascii="Calibri" w:eastAsia="Times New Roman" w:hAnsi="Calibri" w:cs="Arial"/>
                <w:bCs/>
                <w:color w:val="000000"/>
                <w:lang w:eastAsia="en-GB"/>
              </w:rPr>
              <w:lastRenderedPageBreak/>
              <w:t> </w:t>
            </w:r>
          </w:p>
        </w:tc>
        <w:tc>
          <w:tcPr>
            <w:tcW w:w="4008" w:type="dxa"/>
            <w:hideMark/>
          </w:tcPr>
          <w:p w14:paraId="7C4B1FA2" w14:textId="77777777" w:rsidR="005C5584" w:rsidRPr="00C9265C" w:rsidRDefault="005C5584" w:rsidP="00F17F1C">
            <w:pPr>
              <w:ind w:left="79" w:right="62"/>
              <w:rPr>
                <w:rFonts w:ascii="Calibri" w:eastAsia="Times New Roman" w:hAnsi="Calibri" w:cs="Arial"/>
                <w:b w:val="0"/>
                <w:bCs/>
                <w:color w:val="000000"/>
                <w:lang w:eastAsia="en-GB"/>
              </w:rPr>
            </w:pPr>
            <w:r w:rsidRPr="000C57B5">
              <w:rPr>
                <w:rFonts w:ascii="Calibri" w:eastAsia="Times New Roman" w:hAnsi="Calibri" w:cs="Arial"/>
                <w:bCs/>
                <w:color w:val="FFFFFF" w:themeColor="background1"/>
                <w:lang w:eastAsia="en-GB"/>
              </w:rPr>
              <w:t>S</w:t>
            </w:r>
            <w:r>
              <w:rPr>
                <w:rFonts w:ascii="Calibri" w:eastAsia="Times New Roman" w:hAnsi="Calibri" w:cs="Arial"/>
                <w:bCs/>
                <w:color w:val="FFFFFF" w:themeColor="background1"/>
                <w:lang w:eastAsia="en-GB"/>
              </w:rPr>
              <w:t>tandard</w:t>
            </w:r>
          </w:p>
        </w:tc>
        <w:tc>
          <w:tcPr>
            <w:tcW w:w="4110" w:type="dxa"/>
            <w:hideMark/>
          </w:tcPr>
          <w:p w14:paraId="69097E37" w14:textId="77777777" w:rsidR="005C5584" w:rsidRPr="00C9265C" w:rsidRDefault="005C5584" w:rsidP="0089705E">
            <w:pPr>
              <w:ind w:left="79" w:right="62"/>
              <w:rPr>
                <w:rFonts w:ascii="Calibri" w:eastAsia="Times New Roman" w:hAnsi="Calibri" w:cs="Arial"/>
                <w:b w:val="0"/>
                <w:bCs/>
                <w:color w:val="000000"/>
                <w:lang w:eastAsia="en-GB"/>
              </w:rPr>
            </w:pPr>
            <w:r w:rsidRPr="000C57B5">
              <w:rPr>
                <w:rFonts w:ascii="Calibri" w:eastAsia="Times New Roman" w:hAnsi="Calibri" w:cs="Arial"/>
                <w:bCs/>
                <w:color w:val="FFFFFF" w:themeColor="background1"/>
                <w:lang w:eastAsia="en-GB"/>
              </w:rPr>
              <w:t>Why?</w:t>
            </w:r>
          </w:p>
        </w:tc>
        <w:tc>
          <w:tcPr>
            <w:tcW w:w="6663" w:type="dxa"/>
            <w:hideMark/>
          </w:tcPr>
          <w:p w14:paraId="2C3BE145" w14:textId="76B534CE" w:rsidR="005C5584" w:rsidRPr="00C9265C" w:rsidRDefault="005C5584" w:rsidP="00ED3E8C">
            <w:pPr>
              <w:tabs>
                <w:tab w:val="left" w:pos="2340"/>
              </w:tabs>
              <w:ind w:left="79" w:right="62"/>
              <w:rPr>
                <w:rFonts w:ascii="Calibri" w:eastAsia="Times New Roman" w:hAnsi="Calibri" w:cs="Arial"/>
                <w:b w:val="0"/>
                <w:bCs/>
                <w:color w:val="000000"/>
                <w:lang w:eastAsia="en-GB"/>
              </w:rPr>
            </w:pPr>
            <w:r>
              <w:rPr>
                <w:rFonts w:ascii="Calibri" w:eastAsia="Times New Roman" w:hAnsi="Calibri" w:cs="Arial"/>
                <w:bCs/>
                <w:color w:val="FFFFFF" w:themeColor="background1"/>
                <w:lang w:eastAsia="en-GB"/>
              </w:rPr>
              <w:t xml:space="preserve">Ways publishers can reach the standard </w:t>
            </w:r>
            <w:r>
              <w:rPr>
                <w:rFonts w:ascii="Calibri" w:eastAsia="Times New Roman" w:hAnsi="Calibri" w:cs="Arial"/>
                <w:bCs/>
                <w:color w:val="FFFFFF" w:themeColor="background1"/>
                <w:lang w:eastAsia="en-GB"/>
              </w:rPr>
              <w:tab/>
            </w:r>
          </w:p>
        </w:tc>
      </w:tr>
      <w:tr w:rsidR="005C5584" w:rsidRPr="00C9265C" w14:paraId="66A2C48F" w14:textId="77777777" w:rsidTr="005C5584">
        <w:trPr>
          <w:cantSplit/>
          <w:trHeight w:val="1151"/>
        </w:trPr>
        <w:tc>
          <w:tcPr>
            <w:tcW w:w="320" w:type="dxa"/>
          </w:tcPr>
          <w:p w14:paraId="3C710A08" w14:textId="77777777" w:rsidR="005C5584" w:rsidRPr="008D0C76" w:rsidRDefault="005C5584" w:rsidP="00B350DA">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4008" w:type="dxa"/>
          </w:tcPr>
          <w:p w14:paraId="579A981E" w14:textId="77777777" w:rsidR="005C5584" w:rsidRDefault="005C5584" w:rsidP="00B350DA">
            <w:pPr>
              <w:spacing w:after="120" w:line="240" w:lineRule="auto"/>
              <w:ind w:left="79" w:right="62"/>
              <w:rPr>
                <w:sz w:val="18"/>
                <w:szCs w:val="18"/>
                <w:lang w:eastAsia="en-GB"/>
              </w:rPr>
            </w:pPr>
            <w:r>
              <w:rPr>
                <w:sz w:val="18"/>
                <w:szCs w:val="18"/>
                <w:lang w:eastAsia="en-GB"/>
              </w:rPr>
              <w:t xml:space="preserve">ORCID IDs:  </w:t>
            </w:r>
          </w:p>
          <w:p w14:paraId="60CA8E1D" w14:textId="77777777" w:rsidR="005C5584" w:rsidRPr="008E51E9" w:rsidRDefault="005C5584" w:rsidP="00B350DA">
            <w:pPr>
              <w:spacing w:after="120" w:line="240" w:lineRule="auto"/>
              <w:ind w:left="79" w:right="62"/>
              <w:rPr>
                <w:b/>
                <w:sz w:val="18"/>
                <w:szCs w:val="18"/>
                <w:lang w:eastAsia="en-GB"/>
              </w:rPr>
            </w:pPr>
            <w:r w:rsidRPr="009B181C">
              <w:rPr>
                <w:sz w:val="18"/>
                <w:szCs w:val="18"/>
                <w:lang w:eastAsia="en-GB"/>
              </w:rPr>
              <w:t xml:space="preserve">The publisher should adopt ORCID throughout their workflow from submission to publication and expose </w:t>
            </w:r>
            <w:r>
              <w:rPr>
                <w:sz w:val="18"/>
                <w:szCs w:val="18"/>
                <w:lang w:eastAsia="en-GB"/>
              </w:rPr>
              <w:t>(co-)</w:t>
            </w:r>
            <w:r w:rsidRPr="009B181C">
              <w:rPr>
                <w:sz w:val="18"/>
                <w:szCs w:val="18"/>
                <w:lang w:eastAsia="en-GB"/>
              </w:rPr>
              <w:t>author ORCID</w:t>
            </w:r>
            <w:r>
              <w:rPr>
                <w:sz w:val="18"/>
                <w:szCs w:val="18"/>
                <w:lang w:eastAsia="en-GB"/>
              </w:rPr>
              <w:t xml:space="preserve"> ID</w:t>
            </w:r>
            <w:r w:rsidRPr="009B181C">
              <w:rPr>
                <w:sz w:val="18"/>
                <w:szCs w:val="18"/>
                <w:lang w:eastAsia="en-GB"/>
              </w:rPr>
              <w:t xml:space="preserve">s in published articles and via </w:t>
            </w:r>
            <w:r w:rsidRPr="00303264">
              <w:rPr>
                <w:sz w:val="18"/>
                <w:szCs w:val="18"/>
                <w:lang w:eastAsia="en-GB"/>
              </w:rPr>
              <w:t xml:space="preserve">Abstracting &amp; Indexing </w:t>
            </w:r>
            <w:r>
              <w:rPr>
                <w:sz w:val="18"/>
                <w:szCs w:val="18"/>
                <w:lang w:eastAsia="en-GB"/>
              </w:rPr>
              <w:t>(</w:t>
            </w:r>
            <w:r w:rsidRPr="009B181C">
              <w:rPr>
                <w:sz w:val="18"/>
                <w:szCs w:val="18"/>
                <w:lang w:eastAsia="en-GB"/>
              </w:rPr>
              <w:t>A&amp;I</w:t>
            </w:r>
            <w:r>
              <w:rPr>
                <w:sz w:val="18"/>
                <w:szCs w:val="18"/>
                <w:lang w:eastAsia="en-GB"/>
              </w:rPr>
              <w:t>)</w:t>
            </w:r>
            <w:r w:rsidRPr="009B181C">
              <w:rPr>
                <w:sz w:val="18"/>
                <w:szCs w:val="18"/>
                <w:lang w:eastAsia="en-GB"/>
              </w:rPr>
              <w:t xml:space="preserve"> services, CrossRef, other discovery services</w:t>
            </w:r>
            <w:r w:rsidRPr="00685069">
              <w:rPr>
                <w:sz w:val="18"/>
                <w:szCs w:val="18"/>
                <w:lang w:eastAsia="en-GB"/>
              </w:rPr>
              <w:t>.</w:t>
            </w:r>
          </w:p>
        </w:tc>
        <w:tc>
          <w:tcPr>
            <w:tcW w:w="4110" w:type="dxa"/>
          </w:tcPr>
          <w:p w14:paraId="55BAD8DB" w14:textId="77777777" w:rsidR="005C5584" w:rsidRDefault="005C5584" w:rsidP="00B350DA">
            <w:pPr>
              <w:spacing w:after="120" w:line="240" w:lineRule="auto"/>
              <w:ind w:left="79" w:right="62"/>
              <w:rPr>
                <w:sz w:val="18"/>
                <w:szCs w:val="18"/>
                <w:lang w:eastAsia="en-GB"/>
              </w:rPr>
            </w:pPr>
            <w:r w:rsidRPr="00685069">
              <w:rPr>
                <w:sz w:val="18"/>
                <w:szCs w:val="18"/>
                <w:lang w:eastAsia="en-GB"/>
              </w:rPr>
              <w:t xml:space="preserve">To help identify outputs from </w:t>
            </w:r>
            <w:r>
              <w:rPr>
                <w:sz w:val="18"/>
                <w:szCs w:val="18"/>
                <w:lang w:eastAsia="en-GB"/>
              </w:rPr>
              <w:t xml:space="preserve">a </w:t>
            </w:r>
            <w:r w:rsidRPr="00685069">
              <w:rPr>
                <w:sz w:val="18"/>
                <w:szCs w:val="18"/>
                <w:lang w:eastAsia="en-GB"/>
              </w:rPr>
              <w:t>g</w:t>
            </w:r>
            <w:r>
              <w:rPr>
                <w:sz w:val="18"/>
                <w:szCs w:val="18"/>
                <w:lang w:eastAsia="en-GB"/>
              </w:rPr>
              <w:t>iven individual and institution</w:t>
            </w:r>
          </w:p>
          <w:p w14:paraId="7C1E4018" w14:textId="77777777" w:rsidR="005C5584" w:rsidRDefault="005C5584" w:rsidP="00B350DA">
            <w:pPr>
              <w:spacing w:after="120" w:line="240" w:lineRule="auto"/>
              <w:ind w:left="79" w:right="62"/>
              <w:rPr>
                <w:sz w:val="18"/>
                <w:szCs w:val="18"/>
                <w:lang w:eastAsia="en-GB"/>
              </w:rPr>
            </w:pPr>
            <w:r>
              <w:rPr>
                <w:sz w:val="18"/>
                <w:szCs w:val="18"/>
                <w:lang w:eastAsia="en-GB"/>
              </w:rPr>
              <w:t>T</w:t>
            </w:r>
            <w:r w:rsidRPr="00685069">
              <w:rPr>
                <w:sz w:val="18"/>
                <w:szCs w:val="18"/>
                <w:lang w:eastAsia="en-GB"/>
              </w:rPr>
              <w:t>o help populate IRs and monitor research outputs, OA compliance etc.</w:t>
            </w:r>
          </w:p>
          <w:p w14:paraId="0AA2EC3C" w14:textId="77777777" w:rsidR="005C5584" w:rsidRDefault="005C5584" w:rsidP="00B350DA">
            <w:pPr>
              <w:spacing w:after="120" w:line="240" w:lineRule="auto"/>
              <w:ind w:left="79" w:right="62"/>
              <w:rPr>
                <w:sz w:val="18"/>
                <w:szCs w:val="18"/>
                <w:lang w:eastAsia="en-GB"/>
              </w:rPr>
            </w:pPr>
            <w:r>
              <w:rPr>
                <w:sz w:val="18"/>
                <w:szCs w:val="18"/>
                <w:lang w:eastAsia="en-GB"/>
              </w:rPr>
              <w:t xml:space="preserve">Institutions are investing in ORCID as a robust industry identifier </w:t>
            </w:r>
          </w:p>
          <w:p w14:paraId="2F8DC032" w14:textId="0F6546DA" w:rsidR="005C5584" w:rsidRPr="00685069" w:rsidRDefault="005C5584" w:rsidP="00B350DA">
            <w:pPr>
              <w:spacing w:after="120" w:line="240" w:lineRule="auto"/>
              <w:ind w:left="79" w:right="62"/>
              <w:rPr>
                <w:sz w:val="18"/>
                <w:szCs w:val="18"/>
                <w:lang w:eastAsia="en-GB"/>
              </w:rPr>
            </w:pPr>
            <w:r>
              <w:rPr>
                <w:sz w:val="18"/>
                <w:szCs w:val="18"/>
                <w:lang w:eastAsia="en-GB"/>
              </w:rPr>
              <w:t>Some funders are starting to require grant applications to have ORCID IDs and will expect them to be used.</w:t>
            </w:r>
          </w:p>
        </w:tc>
        <w:tc>
          <w:tcPr>
            <w:tcW w:w="6663" w:type="dxa"/>
          </w:tcPr>
          <w:p w14:paraId="6C131228" w14:textId="663C862A" w:rsidR="005C5584" w:rsidRDefault="005C5584" w:rsidP="00B350DA">
            <w:pPr>
              <w:spacing w:after="120" w:line="240" w:lineRule="auto"/>
              <w:ind w:left="79" w:right="62"/>
              <w:rPr>
                <w:sz w:val="18"/>
                <w:szCs w:val="18"/>
                <w:lang w:eastAsia="en-GB"/>
              </w:rPr>
            </w:pPr>
            <w:r>
              <w:rPr>
                <w:sz w:val="18"/>
                <w:szCs w:val="18"/>
                <w:lang w:eastAsia="en-GB"/>
              </w:rPr>
              <w:t xml:space="preserve">Discuss with vendors of editorial office systems (for submission, peer review etc.) for solutions. </w:t>
            </w:r>
          </w:p>
          <w:p w14:paraId="0B86CA7B" w14:textId="77777777" w:rsidR="005C5584" w:rsidRDefault="005C5584" w:rsidP="007B12D3">
            <w:pPr>
              <w:spacing w:after="120" w:line="240" w:lineRule="auto"/>
              <w:ind w:left="79" w:right="62"/>
              <w:rPr>
                <w:sz w:val="18"/>
                <w:szCs w:val="18"/>
                <w:lang w:eastAsia="en-GB"/>
              </w:rPr>
            </w:pPr>
            <w:r>
              <w:rPr>
                <w:sz w:val="18"/>
                <w:szCs w:val="18"/>
                <w:lang w:eastAsia="en-GB"/>
              </w:rPr>
              <w:t>It is noted there are particular challenges in capturing ORCIDs for co-authors and there is scope for publishers, Higher Education Institutions (HEIs) and funders to work together on this.</w:t>
            </w:r>
          </w:p>
          <w:p w14:paraId="32AC7A20" w14:textId="65E5B06D" w:rsidR="005C5584" w:rsidRDefault="005C5584" w:rsidP="00EF4282">
            <w:pPr>
              <w:spacing w:after="120" w:line="240" w:lineRule="auto"/>
              <w:ind w:left="79" w:right="62"/>
              <w:rPr>
                <w:sz w:val="18"/>
                <w:szCs w:val="18"/>
                <w:lang w:eastAsia="en-GB"/>
              </w:rPr>
            </w:pPr>
            <w:r>
              <w:rPr>
                <w:sz w:val="18"/>
                <w:szCs w:val="18"/>
                <w:lang w:eastAsia="en-GB"/>
              </w:rPr>
              <w:t>Sign up to the open letter on “</w:t>
            </w:r>
            <w:r w:rsidRPr="00EF4282">
              <w:rPr>
                <w:sz w:val="18"/>
                <w:szCs w:val="18"/>
                <w:lang w:eastAsia="en-GB"/>
              </w:rPr>
              <w:t>Requiring ORCID in Publication Workflows</w:t>
            </w:r>
            <w:r>
              <w:rPr>
                <w:sz w:val="18"/>
                <w:szCs w:val="18"/>
                <w:lang w:eastAsia="en-GB"/>
              </w:rPr>
              <w:t xml:space="preserve">” (see </w:t>
            </w:r>
            <w:hyperlink r:id="rId13" w:history="1">
              <w:r w:rsidRPr="001160DD">
                <w:rPr>
                  <w:rStyle w:val="Hyperlink"/>
                  <w:sz w:val="18"/>
                  <w:szCs w:val="18"/>
                  <w:lang w:eastAsia="en-GB"/>
                </w:rPr>
                <w:t>https://orcid.org/content/requiring-orcid-publication-workflows-open-letter</w:t>
              </w:r>
            </w:hyperlink>
            <w:r>
              <w:rPr>
                <w:sz w:val="18"/>
                <w:szCs w:val="18"/>
                <w:lang w:eastAsia="en-GB"/>
              </w:rPr>
              <w:t>) – but also need to go beyond this and collect the ORCIDs of all the co-authors, not just the corresponding author. (However, we recognize the special challenges for “big science” subjects like high-energy particle physics, where papers can have very large numbers of authors.)</w:t>
            </w:r>
          </w:p>
        </w:tc>
      </w:tr>
      <w:tr w:rsidR="005C5584" w:rsidRPr="00C9265C" w14:paraId="3E8E622D" w14:textId="77777777" w:rsidTr="005C5584">
        <w:trPr>
          <w:cantSplit/>
          <w:trHeight w:val="1151"/>
        </w:trPr>
        <w:tc>
          <w:tcPr>
            <w:tcW w:w="320" w:type="dxa"/>
          </w:tcPr>
          <w:p w14:paraId="0D5B90B3" w14:textId="77777777" w:rsidR="005C5584" w:rsidRPr="008D0C76" w:rsidRDefault="005C5584" w:rsidP="00D419B4">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4008" w:type="dxa"/>
          </w:tcPr>
          <w:p w14:paraId="0CCACD71" w14:textId="77777777" w:rsidR="005C5584" w:rsidRDefault="005C5584" w:rsidP="00D419B4">
            <w:pPr>
              <w:spacing w:after="120" w:line="240" w:lineRule="auto"/>
              <w:ind w:left="79" w:right="62"/>
              <w:rPr>
                <w:sz w:val="18"/>
                <w:szCs w:val="18"/>
                <w:lang w:eastAsia="en-GB"/>
              </w:rPr>
            </w:pPr>
            <w:r>
              <w:rPr>
                <w:sz w:val="18"/>
                <w:szCs w:val="18"/>
                <w:lang w:eastAsia="en-GB"/>
              </w:rPr>
              <w:t xml:space="preserve">CROSSREF:  </w:t>
            </w:r>
          </w:p>
          <w:p w14:paraId="5B38142F" w14:textId="77777777" w:rsidR="005C5584" w:rsidRPr="009B181C" w:rsidRDefault="005C5584" w:rsidP="00D419B4">
            <w:pPr>
              <w:spacing w:after="120" w:line="240" w:lineRule="auto"/>
              <w:ind w:left="79" w:right="62"/>
              <w:rPr>
                <w:sz w:val="18"/>
                <w:szCs w:val="18"/>
                <w:lang w:eastAsia="en-GB"/>
              </w:rPr>
            </w:pPr>
            <w:r w:rsidRPr="009B181C">
              <w:rPr>
                <w:sz w:val="18"/>
                <w:szCs w:val="18"/>
                <w:lang w:eastAsia="en-GB"/>
              </w:rPr>
              <w:t xml:space="preserve">The publisher undertakes to register the article’s DOI </w:t>
            </w:r>
            <w:r>
              <w:rPr>
                <w:sz w:val="18"/>
                <w:szCs w:val="18"/>
                <w:lang w:eastAsia="en-GB"/>
              </w:rPr>
              <w:t xml:space="preserve">with CrossRef </w:t>
            </w:r>
            <w:r w:rsidRPr="009B181C">
              <w:rPr>
                <w:sz w:val="18"/>
                <w:szCs w:val="18"/>
                <w:lang w:eastAsia="en-GB"/>
              </w:rPr>
              <w:t xml:space="preserve">upon acceptance and inform all co-authors </w:t>
            </w:r>
          </w:p>
          <w:p w14:paraId="116B2864" w14:textId="77777777" w:rsidR="005C5584" w:rsidRDefault="005C5584" w:rsidP="00D419B4">
            <w:pPr>
              <w:spacing w:after="120" w:line="240" w:lineRule="auto"/>
              <w:ind w:left="79" w:right="62"/>
              <w:rPr>
                <w:sz w:val="18"/>
                <w:szCs w:val="18"/>
                <w:lang w:eastAsia="en-GB"/>
              </w:rPr>
            </w:pPr>
          </w:p>
        </w:tc>
        <w:tc>
          <w:tcPr>
            <w:tcW w:w="4110" w:type="dxa"/>
          </w:tcPr>
          <w:p w14:paraId="56F94B95" w14:textId="77777777" w:rsidR="005C5584" w:rsidRDefault="005C5584" w:rsidP="00D419B4">
            <w:pPr>
              <w:spacing w:after="120" w:line="240" w:lineRule="auto"/>
              <w:ind w:left="79" w:right="62"/>
              <w:rPr>
                <w:sz w:val="18"/>
                <w:szCs w:val="18"/>
                <w:lang w:eastAsia="en-GB"/>
              </w:rPr>
            </w:pPr>
            <w:r w:rsidRPr="00685069">
              <w:rPr>
                <w:sz w:val="18"/>
                <w:szCs w:val="18"/>
                <w:lang w:eastAsia="en-GB"/>
              </w:rPr>
              <w:t>To enable recording of DOI o</w:t>
            </w:r>
            <w:r>
              <w:rPr>
                <w:sz w:val="18"/>
                <w:szCs w:val="18"/>
                <w:lang w:eastAsia="en-GB"/>
              </w:rPr>
              <w:t>f Accepted Manuscript (AM) deposited upon acceptance.</w:t>
            </w:r>
          </w:p>
          <w:p w14:paraId="34D5895E" w14:textId="77777777" w:rsidR="005C5584" w:rsidRPr="00C96F68" w:rsidRDefault="005C5584" w:rsidP="00D419B4">
            <w:pPr>
              <w:spacing w:after="120" w:line="240" w:lineRule="auto"/>
              <w:ind w:left="79" w:right="62"/>
              <w:rPr>
                <w:sz w:val="18"/>
                <w:szCs w:val="18"/>
                <w:lang w:eastAsia="en-GB"/>
              </w:rPr>
            </w:pPr>
            <w:r>
              <w:rPr>
                <w:sz w:val="18"/>
                <w:szCs w:val="18"/>
                <w:lang w:eastAsia="en-GB"/>
              </w:rPr>
              <w:t>To</w:t>
            </w:r>
            <w:r w:rsidRPr="00685069">
              <w:rPr>
                <w:sz w:val="18"/>
                <w:szCs w:val="18"/>
                <w:lang w:eastAsia="en-GB"/>
              </w:rPr>
              <w:t xml:space="preserve"> facilitate deduplication e.g. with later updates from various </w:t>
            </w:r>
            <w:r w:rsidRPr="00C96F68">
              <w:rPr>
                <w:sz w:val="18"/>
                <w:szCs w:val="18"/>
                <w:lang w:eastAsia="en-GB"/>
              </w:rPr>
              <w:t>sources upon publication.</w:t>
            </w:r>
          </w:p>
          <w:p w14:paraId="4FA7841A" w14:textId="64C852B4" w:rsidR="005C5584" w:rsidRPr="00685069" w:rsidRDefault="005C5584" w:rsidP="00D419B4">
            <w:pPr>
              <w:spacing w:after="120" w:line="240" w:lineRule="auto"/>
              <w:ind w:left="79" w:right="62"/>
              <w:rPr>
                <w:sz w:val="18"/>
                <w:szCs w:val="18"/>
                <w:lang w:eastAsia="en-GB"/>
              </w:rPr>
            </w:pPr>
            <w:r w:rsidRPr="00C96F68">
              <w:rPr>
                <w:sz w:val="18"/>
                <w:szCs w:val="18"/>
                <w:lang w:eastAsia="en-GB"/>
              </w:rPr>
              <w:t>SHERPA/Ref can list journals where DOIs are registered with CrossRef upon acceptance and enable the ROUTER service to pass notifications to UK HEIs.</w:t>
            </w:r>
          </w:p>
          <w:p w14:paraId="7F03A6BF" w14:textId="77777777" w:rsidR="005C5584" w:rsidRPr="00685069" w:rsidRDefault="005C5584" w:rsidP="00D419B4">
            <w:pPr>
              <w:spacing w:after="120" w:line="240" w:lineRule="auto"/>
              <w:ind w:left="79" w:right="62"/>
              <w:rPr>
                <w:sz w:val="18"/>
                <w:szCs w:val="18"/>
                <w:lang w:eastAsia="en-GB"/>
              </w:rPr>
            </w:pPr>
          </w:p>
        </w:tc>
        <w:tc>
          <w:tcPr>
            <w:tcW w:w="6663" w:type="dxa"/>
          </w:tcPr>
          <w:p w14:paraId="4A20F827" w14:textId="77777777" w:rsidR="005C5584" w:rsidRPr="001C14F6" w:rsidRDefault="005C5584" w:rsidP="00BC5000">
            <w:pPr>
              <w:spacing w:after="120" w:line="240" w:lineRule="auto"/>
              <w:ind w:left="141" w:right="62"/>
              <w:rPr>
                <w:color w:val="FF0000"/>
                <w:sz w:val="18"/>
                <w:szCs w:val="18"/>
                <w:lang w:eastAsia="en-GB"/>
              </w:rPr>
            </w:pPr>
            <w:r>
              <w:rPr>
                <w:sz w:val="18"/>
                <w:szCs w:val="18"/>
                <w:lang w:eastAsia="en-GB"/>
              </w:rPr>
              <w:t>Register DOI with CrossRef on</w:t>
            </w:r>
            <w:r w:rsidRPr="001C14F6">
              <w:rPr>
                <w:sz w:val="18"/>
                <w:szCs w:val="18"/>
                <w:lang w:eastAsia="en-GB"/>
              </w:rPr>
              <w:t xml:space="preserve"> acceptance</w:t>
            </w:r>
          </w:p>
          <w:p w14:paraId="6DDCD94A" w14:textId="77777777" w:rsidR="005C5584" w:rsidRDefault="005C5584" w:rsidP="00BC5000">
            <w:pPr>
              <w:spacing w:after="120" w:line="240" w:lineRule="auto"/>
              <w:ind w:left="141" w:right="62"/>
              <w:rPr>
                <w:sz w:val="18"/>
                <w:szCs w:val="18"/>
                <w:lang w:eastAsia="en-GB"/>
              </w:rPr>
            </w:pPr>
            <w:r>
              <w:rPr>
                <w:sz w:val="18"/>
                <w:szCs w:val="18"/>
                <w:lang w:eastAsia="en-GB"/>
              </w:rPr>
              <w:t>If AM is not exposed at or near acceptance, DOI should resolve to a more minimal landing page.</w:t>
            </w:r>
          </w:p>
          <w:p w14:paraId="4C88E604" w14:textId="77777777" w:rsidR="005C5584" w:rsidRDefault="005C5584" w:rsidP="009B181C">
            <w:pPr>
              <w:spacing w:after="120" w:line="240" w:lineRule="auto"/>
              <w:ind w:left="141" w:right="62"/>
              <w:rPr>
                <w:sz w:val="18"/>
                <w:szCs w:val="18"/>
                <w:lang w:eastAsia="en-GB"/>
              </w:rPr>
            </w:pPr>
            <w:r>
              <w:rPr>
                <w:sz w:val="18"/>
                <w:szCs w:val="18"/>
                <w:lang w:eastAsia="en-GB"/>
              </w:rPr>
              <w:t>Notify authors what the DOI will be if this is robustly known in advance.</w:t>
            </w:r>
          </w:p>
        </w:tc>
      </w:tr>
      <w:tr w:rsidR="005C5584" w:rsidRPr="00C9265C" w14:paraId="4DB63C30" w14:textId="77777777" w:rsidTr="005C5584">
        <w:trPr>
          <w:cantSplit/>
          <w:trHeight w:val="1470"/>
        </w:trPr>
        <w:tc>
          <w:tcPr>
            <w:tcW w:w="320" w:type="dxa"/>
          </w:tcPr>
          <w:p w14:paraId="775930AF" w14:textId="77777777" w:rsidR="005C5584" w:rsidRPr="008D0C76" w:rsidRDefault="005C5584" w:rsidP="00D419B4">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4008" w:type="dxa"/>
          </w:tcPr>
          <w:p w14:paraId="33ADAFB2" w14:textId="77777777" w:rsidR="005C5584" w:rsidRDefault="005C5584" w:rsidP="00D419B4">
            <w:pPr>
              <w:spacing w:after="120" w:line="240" w:lineRule="auto"/>
              <w:ind w:left="79" w:right="62"/>
              <w:rPr>
                <w:sz w:val="18"/>
                <w:szCs w:val="18"/>
                <w:lang w:eastAsia="en-GB"/>
              </w:rPr>
            </w:pPr>
            <w:r>
              <w:rPr>
                <w:sz w:val="18"/>
                <w:szCs w:val="18"/>
                <w:lang w:eastAsia="en-GB"/>
              </w:rPr>
              <w:t xml:space="preserve">CO-AUTHORS AFFILIATIONS:  </w:t>
            </w:r>
          </w:p>
          <w:p w14:paraId="293A1EE6" w14:textId="77777777" w:rsidR="005C5584" w:rsidRDefault="005C5584" w:rsidP="00D419B4">
            <w:pPr>
              <w:spacing w:after="120" w:line="240" w:lineRule="auto"/>
              <w:ind w:left="79" w:right="62"/>
              <w:rPr>
                <w:sz w:val="18"/>
                <w:szCs w:val="18"/>
                <w:lang w:eastAsia="en-GB"/>
              </w:rPr>
            </w:pPr>
            <w:r w:rsidRPr="009B181C">
              <w:rPr>
                <w:sz w:val="18"/>
                <w:szCs w:val="18"/>
                <w:lang w:eastAsia="en-GB"/>
              </w:rPr>
              <w:t>The publisher should populate co-authors’ institutional affiliation fields on CrossRef (including on acceptance if they register the DOI then)</w:t>
            </w:r>
          </w:p>
        </w:tc>
        <w:tc>
          <w:tcPr>
            <w:tcW w:w="4110" w:type="dxa"/>
          </w:tcPr>
          <w:p w14:paraId="352AFDB2" w14:textId="77777777" w:rsidR="005C5584" w:rsidRDefault="005C5584" w:rsidP="002B2F4B">
            <w:pPr>
              <w:spacing w:after="120" w:line="240" w:lineRule="auto"/>
              <w:ind w:left="141" w:right="62"/>
              <w:rPr>
                <w:color w:val="0070C0"/>
                <w:sz w:val="18"/>
                <w:szCs w:val="18"/>
                <w:lang w:eastAsia="en-GB"/>
              </w:rPr>
            </w:pPr>
            <w:r w:rsidRPr="00685069">
              <w:rPr>
                <w:sz w:val="18"/>
                <w:szCs w:val="18"/>
                <w:lang w:eastAsia="en-GB"/>
              </w:rPr>
              <w:t>To help funders identify outputs of their research and to help institutions and funders monitor compliance with funder mandates</w:t>
            </w:r>
            <w:r w:rsidRPr="00E46EDE">
              <w:rPr>
                <w:color w:val="0070C0"/>
                <w:sz w:val="18"/>
                <w:szCs w:val="18"/>
                <w:lang w:eastAsia="en-GB"/>
              </w:rPr>
              <w:t xml:space="preserve"> </w:t>
            </w:r>
          </w:p>
          <w:p w14:paraId="2A0642E0" w14:textId="4C72FB6F" w:rsidR="005C5584" w:rsidRPr="002B2F4B" w:rsidRDefault="005C5584" w:rsidP="002B2F4B">
            <w:pPr>
              <w:spacing w:after="120" w:line="240" w:lineRule="auto"/>
              <w:ind w:left="141" w:right="62"/>
              <w:rPr>
                <w:color w:val="auto"/>
                <w:sz w:val="18"/>
                <w:szCs w:val="18"/>
                <w:lang w:eastAsia="en-GB"/>
              </w:rPr>
            </w:pPr>
            <w:r w:rsidRPr="002B2F4B">
              <w:rPr>
                <w:color w:val="auto"/>
                <w:sz w:val="18"/>
                <w:szCs w:val="18"/>
                <w:lang w:eastAsia="en-GB"/>
              </w:rPr>
              <w:t>Having co-authors properly identified would help in the general process of analysing bibliographic / metric information, not just in an OA context.</w:t>
            </w:r>
          </w:p>
          <w:p w14:paraId="35C03239" w14:textId="77777777" w:rsidR="005C5584" w:rsidRPr="00685069" w:rsidRDefault="005C5584" w:rsidP="00D419B4">
            <w:pPr>
              <w:spacing w:after="120" w:line="240" w:lineRule="auto"/>
              <w:ind w:left="79" w:right="62"/>
              <w:rPr>
                <w:sz w:val="18"/>
                <w:szCs w:val="18"/>
                <w:lang w:eastAsia="en-GB"/>
              </w:rPr>
            </w:pPr>
          </w:p>
        </w:tc>
        <w:tc>
          <w:tcPr>
            <w:tcW w:w="6663" w:type="dxa"/>
          </w:tcPr>
          <w:p w14:paraId="2953984A" w14:textId="77777777" w:rsidR="005C5584" w:rsidRPr="009B181C" w:rsidRDefault="005C5584" w:rsidP="00EE46F8">
            <w:pPr>
              <w:spacing w:after="120" w:line="240" w:lineRule="auto"/>
              <w:ind w:left="141" w:right="62"/>
              <w:rPr>
                <w:color w:val="auto"/>
                <w:sz w:val="18"/>
                <w:szCs w:val="18"/>
                <w:lang w:eastAsia="en-GB"/>
              </w:rPr>
            </w:pPr>
            <w:r w:rsidRPr="009B181C">
              <w:rPr>
                <w:color w:val="auto"/>
                <w:sz w:val="18"/>
                <w:szCs w:val="18"/>
                <w:lang w:eastAsia="en-GB"/>
              </w:rPr>
              <w:t>At acceptance:</w:t>
            </w:r>
            <w:r w:rsidRPr="009B181C">
              <w:rPr>
                <w:color w:val="auto"/>
                <w:lang w:eastAsia="en-GB"/>
              </w:rPr>
              <w:t xml:space="preserve"> </w:t>
            </w:r>
            <w:r w:rsidRPr="009B181C">
              <w:rPr>
                <w:color w:val="auto"/>
                <w:sz w:val="18"/>
                <w:szCs w:val="18"/>
                <w:lang w:eastAsia="en-GB"/>
              </w:rPr>
              <w:t xml:space="preserve">consider ways of picking these up from combination of editorial system metadata and authors’ manuscripts. Note that </w:t>
            </w:r>
            <w:r w:rsidRPr="009B181C">
              <w:rPr>
                <w:i/>
                <w:color w:val="auto"/>
                <w:sz w:val="18"/>
                <w:szCs w:val="18"/>
                <w:lang w:eastAsia="en-GB"/>
              </w:rPr>
              <w:t>many</w:t>
            </w:r>
            <w:r w:rsidRPr="009B181C">
              <w:rPr>
                <w:color w:val="auto"/>
                <w:sz w:val="18"/>
                <w:szCs w:val="18"/>
                <w:lang w:eastAsia="en-GB"/>
              </w:rPr>
              <w:t xml:space="preserve"> (even smaller) publishers do this already on PubMed; so it is a case of replicating that on CrossRef.</w:t>
            </w:r>
          </w:p>
          <w:p w14:paraId="1CC2BB78" w14:textId="77777777" w:rsidR="005C5584" w:rsidRDefault="005C5584" w:rsidP="002B2F4B">
            <w:pPr>
              <w:spacing w:after="120" w:line="240" w:lineRule="auto"/>
              <w:ind w:left="141" w:right="62"/>
              <w:rPr>
                <w:sz w:val="18"/>
                <w:szCs w:val="18"/>
                <w:lang w:eastAsia="en-GB"/>
              </w:rPr>
            </w:pPr>
            <w:r w:rsidRPr="009B181C">
              <w:rPr>
                <w:color w:val="auto"/>
                <w:sz w:val="18"/>
                <w:szCs w:val="18"/>
                <w:lang w:eastAsia="en-GB"/>
              </w:rPr>
              <w:t>At publication:</w:t>
            </w:r>
            <w:r w:rsidRPr="00BC5000">
              <w:rPr>
                <w:color w:val="auto"/>
                <w:sz w:val="18"/>
                <w:szCs w:val="18"/>
                <w:lang w:eastAsia="en-GB"/>
              </w:rPr>
              <w:t xml:space="preserve"> ask CrossRef to ensure their XSLT from JATS picks all affiliations up when present in JATS. (Ditto other DTDs/ workflows.)</w:t>
            </w:r>
            <w:r w:rsidRPr="00BC5000">
              <w:rPr>
                <w:sz w:val="18"/>
                <w:szCs w:val="18"/>
                <w:lang w:eastAsia="en-GB"/>
              </w:rPr>
              <w:t xml:space="preserve"> </w:t>
            </w:r>
          </w:p>
          <w:p w14:paraId="74773896" w14:textId="63E60A65" w:rsidR="005C5584" w:rsidRPr="002B2F4B" w:rsidRDefault="005C5584" w:rsidP="002B2F4B">
            <w:pPr>
              <w:spacing w:after="120" w:line="240" w:lineRule="auto"/>
              <w:ind w:left="141" w:right="62"/>
              <w:rPr>
                <w:color w:val="auto"/>
                <w:sz w:val="18"/>
                <w:szCs w:val="18"/>
                <w:lang w:eastAsia="en-GB"/>
              </w:rPr>
            </w:pPr>
            <w:r w:rsidRPr="002B2F4B">
              <w:rPr>
                <w:color w:val="auto"/>
                <w:sz w:val="18"/>
                <w:szCs w:val="18"/>
                <w:lang w:eastAsia="en-GB"/>
              </w:rPr>
              <w:t>ORCIDs could perhaps be used as a base here.</w:t>
            </w:r>
          </w:p>
          <w:p w14:paraId="0EE29A96" w14:textId="2A0F71DC" w:rsidR="005C5584" w:rsidRPr="00BC5000" w:rsidRDefault="005C5584" w:rsidP="00303264">
            <w:pPr>
              <w:spacing w:after="120" w:line="240" w:lineRule="auto"/>
              <w:ind w:left="141" w:right="62"/>
              <w:rPr>
                <w:sz w:val="18"/>
                <w:szCs w:val="18"/>
                <w:lang w:eastAsia="en-GB"/>
              </w:rPr>
            </w:pPr>
          </w:p>
        </w:tc>
      </w:tr>
      <w:tr w:rsidR="005C5584" w:rsidRPr="00C9265C" w14:paraId="30649BFE" w14:textId="77777777" w:rsidTr="005C5584">
        <w:trPr>
          <w:cantSplit/>
          <w:trHeight w:val="1470"/>
        </w:trPr>
        <w:tc>
          <w:tcPr>
            <w:tcW w:w="320" w:type="dxa"/>
          </w:tcPr>
          <w:p w14:paraId="632FE4D6" w14:textId="77777777" w:rsidR="005C5584" w:rsidRPr="008D0C76" w:rsidRDefault="005C5584" w:rsidP="00EE46F8">
            <w:pPr>
              <w:pStyle w:val="ListParagraph"/>
              <w:numPr>
                <w:ilvl w:val="0"/>
                <w:numId w:val="22"/>
              </w:numPr>
              <w:suppressAutoHyphens w:val="0"/>
              <w:autoSpaceDN/>
              <w:spacing w:after="0" w:line="240" w:lineRule="auto"/>
              <w:ind w:left="181" w:hanging="181"/>
              <w:contextualSpacing/>
              <w:textAlignment w:val="auto"/>
              <w:rPr>
                <w:rFonts w:ascii="Calibri" w:eastAsia="Times New Roman" w:hAnsi="Calibri" w:cs="Arial"/>
                <w:color w:val="000000"/>
                <w:lang w:eastAsia="en-GB"/>
              </w:rPr>
            </w:pPr>
          </w:p>
        </w:tc>
        <w:tc>
          <w:tcPr>
            <w:tcW w:w="4008" w:type="dxa"/>
          </w:tcPr>
          <w:p w14:paraId="3F6AD90F" w14:textId="77777777" w:rsidR="005C5584" w:rsidRDefault="005C5584" w:rsidP="00EE46F8">
            <w:pPr>
              <w:spacing w:after="120" w:line="240" w:lineRule="auto"/>
              <w:ind w:left="79" w:right="62"/>
              <w:rPr>
                <w:sz w:val="18"/>
                <w:szCs w:val="18"/>
                <w:lang w:eastAsia="en-GB"/>
              </w:rPr>
            </w:pPr>
            <w:r>
              <w:rPr>
                <w:sz w:val="18"/>
                <w:szCs w:val="18"/>
                <w:lang w:eastAsia="en-GB"/>
              </w:rPr>
              <w:t xml:space="preserve">FUNDING METADATA:  </w:t>
            </w:r>
          </w:p>
          <w:p w14:paraId="0115DCD6" w14:textId="77777777" w:rsidR="005C5584" w:rsidRDefault="005C5584" w:rsidP="00EE46F8">
            <w:pPr>
              <w:spacing w:after="120" w:line="240" w:lineRule="auto"/>
              <w:ind w:left="79" w:right="62"/>
              <w:rPr>
                <w:sz w:val="18"/>
                <w:szCs w:val="18"/>
                <w:lang w:eastAsia="en-GB"/>
              </w:rPr>
            </w:pPr>
            <w:r w:rsidRPr="009B181C">
              <w:rPr>
                <w:sz w:val="18"/>
                <w:szCs w:val="18"/>
                <w:lang w:eastAsia="en-GB"/>
              </w:rPr>
              <w:t xml:space="preserve">The publisher should populate funding metadata, including funding body and grant number, </w:t>
            </w:r>
            <w:r>
              <w:rPr>
                <w:sz w:val="18"/>
                <w:szCs w:val="18"/>
                <w:lang w:eastAsia="en-GB"/>
              </w:rPr>
              <w:t xml:space="preserve">in </w:t>
            </w:r>
            <w:r w:rsidRPr="009B181C">
              <w:rPr>
                <w:sz w:val="18"/>
                <w:szCs w:val="18"/>
                <w:lang w:eastAsia="en-GB"/>
              </w:rPr>
              <w:t>both FundRef (on CrossRef) and on the publisher’s site.</w:t>
            </w:r>
          </w:p>
        </w:tc>
        <w:tc>
          <w:tcPr>
            <w:tcW w:w="4110" w:type="dxa"/>
          </w:tcPr>
          <w:p w14:paraId="6A8FF50C" w14:textId="77777777" w:rsidR="005C5584" w:rsidRDefault="005C5584" w:rsidP="005C1B8D">
            <w:pPr>
              <w:spacing w:after="120" w:line="240" w:lineRule="auto"/>
              <w:ind w:left="79" w:right="62"/>
              <w:rPr>
                <w:color w:val="0070C0"/>
                <w:sz w:val="18"/>
                <w:szCs w:val="18"/>
                <w:lang w:eastAsia="en-GB"/>
              </w:rPr>
            </w:pPr>
            <w:r w:rsidRPr="00685069">
              <w:rPr>
                <w:sz w:val="18"/>
                <w:szCs w:val="18"/>
                <w:lang w:eastAsia="en-GB"/>
              </w:rPr>
              <w:t>To help funders identify outputs of their research and to help institutions and funders monitor compliance with funder mandates.</w:t>
            </w:r>
            <w:r w:rsidRPr="00841B2C">
              <w:rPr>
                <w:color w:val="0070C0"/>
                <w:sz w:val="18"/>
                <w:szCs w:val="18"/>
                <w:lang w:eastAsia="en-GB"/>
              </w:rPr>
              <w:t xml:space="preserve"> </w:t>
            </w:r>
          </w:p>
          <w:p w14:paraId="2BA1C7DB" w14:textId="5CE9FF0E" w:rsidR="005C5584" w:rsidRDefault="005C5584" w:rsidP="005C1B8D">
            <w:pPr>
              <w:spacing w:after="120" w:line="240" w:lineRule="auto"/>
              <w:ind w:left="79" w:right="62"/>
              <w:rPr>
                <w:color w:val="0070C0"/>
                <w:sz w:val="18"/>
                <w:szCs w:val="18"/>
                <w:lang w:eastAsia="en-GB"/>
              </w:rPr>
            </w:pPr>
            <w:r w:rsidRPr="005C1B8D">
              <w:rPr>
                <w:color w:val="auto"/>
                <w:sz w:val="18"/>
                <w:szCs w:val="18"/>
                <w:lang w:eastAsia="en-GB"/>
              </w:rPr>
              <w:t>There is a need for FundRef to be continually updated so it remains a reliable source.</w:t>
            </w:r>
          </w:p>
          <w:p w14:paraId="3EC59CB0" w14:textId="77777777" w:rsidR="005C5584" w:rsidRPr="00685069" w:rsidRDefault="005C5584" w:rsidP="00EE46F8">
            <w:pPr>
              <w:spacing w:after="120" w:line="240" w:lineRule="auto"/>
              <w:ind w:left="79" w:right="62"/>
              <w:rPr>
                <w:sz w:val="18"/>
                <w:szCs w:val="18"/>
                <w:lang w:eastAsia="en-GB"/>
              </w:rPr>
            </w:pPr>
          </w:p>
        </w:tc>
        <w:tc>
          <w:tcPr>
            <w:tcW w:w="6663" w:type="dxa"/>
          </w:tcPr>
          <w:p w14:paraId="3E18E674" w14:textId="77777777" w:rsidR="005C5584" w:rsidRDefault="005C5584" w:rsidP="00EE46F8">
            <w:pPr>
              <w:spacing w:after="120" w:line="240" w:lineRule="auto"/>
              <w:ind w:left="79" w:right="62"/>
              <w:rPr>
                <w:sz w:val="18"/>
                <w:szCs w:val="18"/>
                <w:lang w:eastAsia="en-GB"/>
              </w:rPr>
            </w:pPr>
            <w:r>
              <w:rPr>
                <w:sz w:val="18"/>
                <w:szCs w:val="18"/>
                <w:lang w:eastAsia="en-GB"/>
              </w:rPr>
              <w:t xml:space="preserve">Population of the FundRef fields is often achieved by typesetters noting acknowledgement of funders within the text of the article. </w:t>
            </w:r>
          </w:p>
          <w:p w14:paraId="6B46644A" w14:textId="77777777" w:rsidR="005C5584" w:rsidRDefault="005C5584" w:rsidP="00591618">
            <w:pPr>
              <w:spacing w:after="120" w:line="240" w:lineRule="auto"/>
              <w:ind w:left="79" w:right="62"/>
              <w:rPr>
                <w:b/>
                <w:color w:val="auto"/>
                <w:sz w:val="18"/>
                <w:szCs w:val="18"/>
                <w:lang w:eastAsia="en-GB"/>
              </w:rPr>
            </w:pPr>
            <w:r>
              <w:rPr>
                <w:sz w:val="18"/>
                <w:szCs w:val="18"/>
                <w:lang w:eastAsia="en-GB"/>
              </w:rPr>
              <w:t>Ask authors for their funding details at an early stage in the process. This also has knock-on effects: the licence applied to the published article may depend on who funded the research.</w:t>
            </w:r>
            <w:r w:rsidRPr="00BC5000">
              <w:rPr>
                <w:b/>
                <w:color w:val="auto"/>
                <w:sz w:val="18"/>
                <w:szCs w:val="18"/>
                <w:lang w:eastAsia="en-GB"/>
              </w:rPr>
              <w:t xml:space="preserve"> </w:t>
            </w:r>
          </w:p>
          <w:p w14:paraId="5C4DBF43" w14:textId="06825596" w:rsidR="005C5584" w:rsidRPr="00BC5000" w:rsidRDefault="005C5584" w:rsidP="00591618">
            <w:pPr>
              <w:spacing w:after="120" w:line="240" w:lineRule="auto"/>
              <w:ind w:left="79" w:right="62"/>
              <w:rPr>
                <w:b/>
                <w:color w:val="auto"/>
                <w:sz w:val="18"/>
                <w:szCs w:val="18"/>
                <w:lang w:eastAsia="en-GB"/>
              </w:rPr>
            </w:pPr>
            <w:r w:rsidRPr="00015A42">
              <w:rPr>
                <w:color w:val="auto"/>
              </w:rPr>
              <w:t>What would be really helpful is if authors and funders were associated – can publishers provide fields or suggested wording that help authors do this?  RIN had an example a few years ago – ie. XY acknowledges funding from the EPSRC grant EP/J123456/1</w:t>
            </w:r>
          </w:p>
        </w:tc>
      </w:tr>
      <w:tr w:rsidR="005C5584" w:rsidRPr="00237FD3" w14:paraId="1871C028" w14:textId="77777777" w:rsidTr="005C5584">
        <w:trPr>
          <w:cantSplit/>
          <w:trHeight w:val="3700"/>
        </w:trPr>
        <w:tc>
          <w:tcPr>
            <w:tcW w:w="320" w:type="dxa"/>
          </w:tcPr>
          <w:p w14:paraId="1EC13631" w14:textId="77777777" w:rsidR="005C5584" w:rsidRPr="00237FD3" w:rsidRDefault="005C5584" w:rsidP="00541B41">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7548C43F" w14:textId="77777777" w:rsidR="005C5584" w:rsidRPr="00237FD3" w:rsidRDefault="005C5584" w:rsidP="00541B41">
            <w:pPr>
              <w:spacing w:after="120" w:line="240" w:lineRule="auto"/>
              <w:ind w:left="79" w:right="62"/>
              <w:rPr>
                <w:sz w:val="18"/>
                <w:szCs w:val="18"/>
                <w:lang w:eastAsia="en-GB"/>
              </w:rPr>
            </w:pPr>
            <w:r w:rsidRPr="00237FD3">
              <w:rPr>
                <w:sz w:val="18"/>
                <w:szCs w:val="18"/>
                <w:lang w:eastAsia="en-GB"/>
              </w:rPr>
              <w:t xml:space="preserve">ARTICLE LEVEL OA LICENSING TERMS:  </w:t>
            </w:r>
          </w:p>
          <w:p w14:paraId="039DABE9" w14:textId="11E33FF1" w:rsidR="005C5584" w:rsidRPr="00D864CC" w:rsidRDefault="005C5584" w:rsidP="00C32FEA">
            <w:pPr>
              <w:spacing w:after="120" w:line="240" w:lineRule="auto"/>
              <w:ind w:left="79" w:right="62"/>
              <w:rPr>
                <w:sz w:val="18"/>
                <w:szCs w:val="18"/>
                <w:lang w:eastAsia="en-GB"/>
              </w:rPr>
            </w:pPr>
            <w:r w:rsidRPr="00D864CC">
              <w:rPr>
                <w:sz w:val="18"/>
                <w:szCs w:val="18"/>
                <w:lang w:eastAsia="en-GB"/>
              </w:rPr>
              <w:t xml:space="preserve">The Publisher should ensure clarity of OA licensing terms at the article level </w:t>
            </w:r>
            <w:r>
              <w:rPr>
                <w:sz w:val="18"/>
                <w:szCs w:val="18"/>
                <w:lang w:eastAsia="en-GB"/>
              </w:rPr>
              <w:t>and make this information available as soon as content is publicly exposed for each version of the article (Accepted Manuscript (AM) and Version of Record (VoR)).</w:t>
            </w:r>
          </w:p>
          <w:p w14:paraId="52D8C968" w14:textId="77777777" w:rsidR="005C5584" w:rsidRDefault="005C5584" w:rsidP="00541B41">
            <w:pPr>
              <w:spacing w:after="120" w:line="240" w:lineRule="auto"/>
              <w:ind w:left="79" w:right="62"/>
              <w:rPr>
                <w:sz w:val="18"/>
                <w:szCs w:val="18"/>
                <w:lang w:eastAsia="en-GB"/>
              </w:rPr>
            </w:pPr>
          </w:p>
          <w:p w14:paraId="61B38AB9" w14:textId="17279608" w:rsidR="005C5584" w:rsidRPr="00237FD3" w:rsidRDefault="005C5584" w:rsidP="00DA7F7B">
            <w:pPr>
              <w:spacing w:after="120" w:line="240" w:lineRule="auto"/>
              <w:ind w:left="79" w:right="62"/>
              <w:rPr>
                <w:sz w:val="18"/>
                <w:szCs w:val="18"/>
                <w:lang w:eastAsia="en-GB"/>
              </w:rPr>
            </w:pPr>
            <w:r>
              <w:rPr>
                <w:sz w:val="18"/>
                <w:szCs w:val="18"/>
                <w:lang w:eastAsia="en-GB"/>
              </w:rPr>
              <w:t>N</w:t>
            </w:r>
            <w:r w:rsidRPr="00237FD3">
              <w:rPr>
                <w:sz w:val="18"/>
                <w:szCs w:val="18"/>
                <w:lang w:eastAsia="en-GB"/>
              </w:rPr>
              <w:t xml:space="preserve">ISO has a Recommended Practice on </w:t>
            </w:r>
            <w:r>
              <w:rPr>
                <w:sz w:val="18"/>
                <w:szCs w:val="18"/>
                <w:lang w:eastAsia="en-GB"/>
              </w:rPr>
              <w:t>A</w:t>
            </w:r>
            <w:r w:rsidRPr="00237FD3">
              <w:rPr>
                <w:sz w:val="18"/>
                <w:szCs w:val="18"/>
                <w:lang w:eastAsia="en-GB"/>
              </w:rPr>
              <w:t xml:space="preserve">ccess and </w:t>
            </w:r>
            <w:r>
              <w:rPr>
                <w:sz w:val="18"/>
                <w:szCs w:val="18"/>
                <w:lang w:eastAsia="en-GB"/>
              </w:rPr>
              <w:t>Licensing I</w:t>
            </w:r>
            <w:r w:rsidRPr="00237FD3">
              <w:rPr>
                <w:sz w:val="18"/>
                <w:szCs w:val="18"/>
                <w:lang w:eastAsia="en-GB"/>
              </w:rPr>
              <w:t xml:space="preserve">ndicators (ALI) – see </w:t>
            </w:r>
            <w:hyperlink r:id="rId14" w:history="1">
              <w:r w:rsidRPr="00237FD3">
                <w:rPr>
                  <w:rStyle w:val="Hyperlink"/>
                  <w:sz w:val="18"/>
                  <w:szCs w:val="18"/>
                  <w:lang w:eastAsia="en-GB"/>
                </w:rPr>
                <w:t>http://www.niso.org/workrooms/ali/</w:t>
              </w:r>
            </w:hyperlink>
            <w:r w:rsidRPr="00237FD3">
              <w:rPr>
                <w:sz w:val="18"/>
                <w:szCs w:val="18"/>
                <w:lang w:eastAsia="en-GB"/>
              </w:rPr>
              <w:t xml:space="preserve">. Publishers can incorporate these fields into their </w:t>
            </w:r>
            <w:r>
              <w:rPr>
                <w:sz w:val="18"/>
                <w:szCs w:val="18"/>
                <w:lang w:eastAsia="en-GB"/>
              </w:rPr>
              <w:t>Document Type D</w:t>
            </w:r>
            <w:r w:rsidRPr="008D6F77">
              <w:rPr>
                <w:sz w:val="18"/>
                <w:szCs w:val="18"/>
                <w:lang w:eastAsia="en-GB"/>
              </w:rPr>
              <w:t>efinition</w:t>
            </w:r>
            <w:r>
              <w:rPr>
                <w:sz w:val="18"/>
                <w:szCs w:val="18"/>
                <w:lang w:eastAsia="en-GB"/>
              </w:rPr>
              <w:t>s</w:t>
            </w:r>
            <w:r w:rsidRPr="008D6F77">
              <w:rPr>
                <w:sz w:val="18"/>
                <w:szCs w:val="18"/>
                <w:lang w:eastAsia="en-GB"/>
              </w:rPr>
              <w:t xml:space="preserve"> </w:t>
            </w:r>
            <w:r>
              <w:rPr>
                <w:sz w:val="18"/>
                <w:szCs w:val="18"/>
                <w:lang w:eastAsia="en-GB"/>
              </w:rPr>
              <w:t>(</w:t>
            </w:r>
            <w:r w:rsidRPr="00237FD3">
              <w:rPr>
                <w:sz w:val="18"/>
                <w:szCs w:val="18"/>
                <w:lang w:eastAsia="en-GB"/>
              </w:rPr>
              <w:t>DTDs</w:t>
            </w:r>
            <w:r>
              <w:rPr>
                <w:sz w:val="18"/>
                <w:szCs w:val="18"/>
                <w:lang w:eastAsia="en-GB"/>
              </w:rPr>
              <w:t>)</w:t>
            </w:r>
            <w:r w:rsidRPr="00237FD3">
              <w:rPr>
                <w:sz w:val="18"/>
                <w:szCs w:val="18"/>
                <w:lang w:eastAsia="en-GB"/>
              </w:rPr>
              <w:t>, and populate them at the article and version level.</w:t>
            </w:r>
            <w:r>
              <w:rPr>
                <w:noProof/>
              </w:rPr>
              <w:t xml:space="preserve"> </w:t>
            </w:r>
          </w:p>
        </w:tc>
        <w:tc>
          <w:tcPr>
            <w:tcW w:w="4110" w:type="dxa"/>
          </w:tcPr>
          <w:p w14:paraId="3FDDC348" w14:textId="77777777" w:rsidR="005C5584" w:rsidRPr="00237FD3" w:rsidRDefault="005C5584" w:rsidP="00541B41">
            <w:pPr>
              <w:spacing w:after="120" w:line="240" w:lineRule="auto"/>
              <w:ind w:left="79" w:right="62"/>
              <w:rPr>
                <w:sz w:val="18"/>
                <w:szCs w:val="18"/>
                <w:lang w:eastAsia="en-GB"/>
              </w:rPr>
            </w:pPr>
            <w:r w:rsidRPr="00237FD3">
              <w:rPr>
                <w:sz w:val="18"/>
                <w:szCs w:val="18"/>
                <w:lang w:eastAsia="en-GB"/>
              </w:rPr>
              <w:t>To enable readers/ users to understand what they may do with a given article.</w:t>
            </w:r>
          </w:p>
          <w:p w14:paraId="39998676" w14:textId="77777777" w:rsidR="005C5584" w:rsidRPr="00237FD3" w:rsidRDefault="005C5584" w:rsidP="00541B41">
            <w:pPr>
              <w:spacing w:after="120" w:line="240" w:lineRule="auto"/>
              <w:ind w:left="79" w:right="62"/>
              <w:rPr>
                <w:sz w:val="18"/>
                <w:szCs w:val="18"/>
                <w:lang w:eastAsia="en-GB"/>
              </w:rPr>
            </w:pPr>
            <w:r w:rsidRPr="00237FD3">
              <w:rPr>
                <w:sz w:val="18"/>
                <w:szCs w:val="18"/>
                <w:lang w:eastAsia="en-GB"/>
              </w:rPr>
              <w:t>To enable repository staff and related services to act upon the correct licensing terms, and to move towards automation of this, to minimize the need for manual searches and other intervention.</w:t>
            </w:r>
          </w:p>
          <w:p w14:paraId="51C82685" w14:textId="77777777" w:rsidR="005C5584" w:rsidRPr="00237FD3" w:rsidRDefault="005C5584" w:rsidP="00541B41">
            <w:pPr>
              <w:spacing w:after="120" w:line="240" w:lineRule="auto"/>
              <w:ind w:left="79" w:right="62"/>
              <w:rPr>
                <w:sz w:val="18"/>
                <w:szCs w:val="18"/>
                <w:lang w:eastAsia="en-GB"/>
              </w:rPr>
            </w:pPr>
            <w:r w:rsidRPr="00237FD3">
              <w:rPr>
                <w:sz w:val="18"/>
                <w:szCs w:val="18"/>
                <w:lang w:eastAsia="en-GB"/>
              </w:rPr>
              <w:t>To move towards machine-readable embargo end-dates that can be acted upon automatically by repositories, for example by passing on this metadata via Publications Router or CrossRef.</w:t>
            </w:r>
          </w:p>
          <w:p w14:paraId="7C324B7C" w14:textId="77777777" w:rsidR="005C5584" w:rsidRDefault="005C5584" w:rsidP="00541B41">
            <w:pPr>
              <w:spacing w:after="120" w:line="240" w:lineRule="auto"/>
              <w:ind w:left="79" w:right="62"/>
              <w:rPr>
                <w:sz w:val="18"/>
                <w:szCs w:val="18"/>
                <w:lang w:eastAsia="en-GB"/>
              </w:rPr>
            </w:pPr>
            <w:r w:rsidRPr="00237FD3">
              <w:rPr>
                <w:sz w:val="18"/>
                <w:szCs w:val="18"/>
                <w:lang w:eastAsia="en-GB"/>
              </w:rPr>
              <w:t xml:space="preserve">To facilitate tracking of OA compliance, and whether OA publishing terms have been fulfilled. </w:t>
            </w:r>
          </w:p>
          <w:p w14:paraId="0805EB78" w14:textId="77777777" w:rsidR="005C5584" w:rsidRPr="00015A42" w:rsidRDefault="005C5584" w:rsidP="00541B41">
            <w:pPr>
              <w:spacing w:after="120" w:line="240" w:lineRule="auto"/>
              <w:ind w:left="79" w:right="62"/>
              <w:rPr>
                <w:color w:val="auto"/>
                <w:sz w:val="18"/>
                <w:szCs w:val="18"/>
                <w:lang w:eastAsia="en-GB"/>
              </w:rPr>
            </w:pPr>
            <w:r w:rsidRPr="00015A42">
              <w:rPr>
                <w:color w:val="auto"/>
                <w:sz w:val="18"/>
                <w:szCs w:val="18"/>
                <w:lang w:eastAsia="en-GB"/>
              </w:rPr>
              <w:t xml:space="preserve">Would equally apply in an international context, e.g. US Fed-funded articles. </w:t>
            </w:r>
          </w:p>
          <w:p w14:paraId="067AAB5D" w14:textId="662710EA" w:rsidR="005C5584" w:rsidRPr="00237FD3" w:rsidRDefault="005C5584" w:rsidP="00541B41">
            <w:pPr>
              <w:spacing w:after="120" w:line="240" w:lineRule="auto"/>
              <w:ind w:left="79" w:right="62"/>
              <w:rPr>
                <w:sz w:val="18"/>
                <w:szCs w:val="18"/>
                <w:lang w:eastAsia="en-GB"/>
              </w:rPr>
            </w:pPr>
            <w:r w:rsidRPr="00015A42">
              <w:rPr>
                <w:color w:val="auto"/>
                <w:sz w:val="18"/>
                <w:szCs w:val="18"/>
                <w:lang w:eastAsia="en-GB"/>
              </w:rPr>
              <w:t>To enable discovery systems, knowledge bases and search engines to find and index material that is free to read.</w:t>
            </w:r>
          </w:p>
        </w:tc>
        <w:tc>
          <w:tcPr>
            <w:tcW w:w="6663" w:type="dxa"/>
          </w:tcPr>
          <w:p w14:paraId="2B0CC99B" w14:textId="622A5416" w:rsidR="005C5584" w:rsidRPr="00237FD3" w:rsidRDefault="005C5584" w:rsidP="00656894">
            <w:pPr>
              <w:spacing w:after="120" w:line="240" w:lineRule="auto"/>
              <w:ind w:left="79" w:right="62"/>
              <w:rPr>
                <w:sz w:val="18"/>
                <w:szCs w:val="18"/>
                <w:lang w:eastAsia="en-GB"/>
              </w:rPr>
            </w:pPr>
            <w:r w:rsidRPr="00237FD3">
              <w:rPr>
                <w:sz w:val="18"/>
                <w:szCs w:val="18"/>
                <w:lang w:eastAsia="en-GB"/>
              </w:rPr>
              <w:t xml:space="preserve">Populate license-ref </w:t>
            </w:r>
            <w:r>
              <w:rPr>
                <w:sz w:val="18"/>
                <w:szCs w:val="18"/>
                <w:lang w:eastAsia="en-GB"/>
              </w:rPr>
              <w:t xml:space="preserve">and free to read </w:t>
            </w:r>
            <w:r w:rsidRPr="00237FD3">
              <w:rPr>
                <w:sz w:val="18"/>
                <w:szCs w:val="18"/>
                <w:lang w:eastAsia="en-GB"/>
              </w:rPr>
              <w:t>metadata</w:t>
            </w:r>
            <w:r>
              <w:rPr>
                <w:sz w:val="18"/>
                <w:szCs w:val="18"/>
                <w:lang w:eastAsia="en-GB"/>
              </w:rPr>
              <w:t xml:space="preserve"> as appropriate</w:t>
            </w:r>
            <w:r w:rsidRPr="00237FD3">
              <w:rPr>
                <w:sz w:val="18"/>
                <w:szCs w:val="18"/>
                <w:lang w:eastAsia="en-GB"/>
              </w:rPr>
              <w:t xml:space="preserve"> on publisher site and on CrossRef </w:t>
            </w:r>
            <w:r>
              <w:rPr>
                <w:sz w:val="18"/>
                <w:szCs w:val="18"/>
                <w:lang w:eastAsia="en-GB"/>
              </w:rPr>
              <w:t>for at least AM</w:t>
            </w:r>
            <w:r w:rsidRPr="00237FD3">
              <w:rPr>
                <w:sz w:val="18"/>
                <w:szCs w:val="18"/>
                <w:lang w:eastAsia="en-GB"/>
              </w:rPr>
              <w:t xml:space="preserve"> </w:t>
            </w:r>
            <w:r>
              <w:rPr>
                <w:sz w:val="18"/>
                <w:szCs w:val="18"/>
                <w:lang w:eastAsia="en-GB"/>
              </w:rPr>
              <w:t>and</w:t>
            </w:r>
            <w:r w:rsidRPr="00237FD3">
              <w:rPr>
                <w:sz w:val="18"/>
                <w:szCs w:val="18"/>
                <w:lang w:eastAsia="en-GB"/>
              </w:rPr>
              <w:t xml:space="preserve"> </w:t>
            </w:r>
            <w:r>
              <w:rPr>
                <w:sz w:val="18"/>
                <w:szCs w:val="18"/>
                <w:lang w:eastAsia="en-GB"/>
              </w:rPr>
              <w:t>VoR</w:t>
            </w:r>
            <w:r w:rsidRPr="00237FD3">
              <w:rPr>
                <w:sz w:val="18"/>
                <w:szCs w:val="18"/>
                <w:lang w:eastAsia="en-GB"/>
              </w:rPr>
              <w:t>.</w:t>
            </w:r>
          </w:p>
          <w:p w14:paraId="249F0957" w14:textId="77777777" w:rsidR="005C5584" w:rsidRPr="00237FD3" w:rsidRDefault="005C5584" w:rsidP="00656894">
            <w:pPr>
              <w:spacing w:after="120" w:line="240" w:lineRule="auto"/>
              <w:ind w:left="79" w:right="62"/>
              <w:rPr>
                <w:sz w:val="18"/>
                <w:szCs w:val="18"/>
                <w:lang w:eastAsia="en-GB"/>
              </w:rPr>
            </w:pPr>
            <w:r w:rsidRPr="00237FD3">
              <w:rPr>
                <w:sz w:val="18"/>
                <w:szCs w:val="18"/>
                <w:lang w:eastAsia="en-GB"/>
              </w:rPr>
              <w:t xml:space="preserve">Provide a clear, </w:t>
            </w:r>
            <w:r>
              <w:rPr>
                <w:sz w:val="18"/>
                <w:szCs w:val="18"/>
                <w:lang w:eastAsia="en-GB"/>
              </w:rPr>
              <w:t xml:space="preserve">human-readable </w:t>
            </w:r>
            <w:r w:rsidRPr="00237FD3">
              <w:rPr>
                <w:sz w:val="18"/>
                <w:szCs w:val="18"/>
                <w:lang w:eastAsia="en-GB"/>
              </w:rPr>
              <w:t xml:space="preserve">statement/link on the </w:t>
            </w:r>
            <w:r>
              <w:rPr>
                <w:sz w:val="18"/>
                <w:szCs w:val="18"/>
                <w:lang w:eastAsia="en-GB"/>
              </w:rPr>
              <w:t>article-level pages.</w:t>
            </w:r>
          </w:p>
          <w:p w14:paraId="043613C5" w14:textId="77777777" w:rsidR="005C5584" w:rsidRPr="00237FD3" w:rsidRDefault="005C5584" w:rsidP="00656894">
            <w:pPr>
              <w:spacing w:after="120" w:line="240" w:lineRule="auto"/>
              <w:ind w:left="79" w:right="62"/>
              <w:rPr>
                <w:sz w:val="18"/>
                <w:szCs w:val="18"/>
                <w:lang w:eastAsia="en-GB"/>
              </w:rPr>
            </w:pPr>
            <w:r w:rsidRPr="00237FD3">
              <w:rPr>
                <w:sz w:val="18"/>
                <w:szCs w:val="18"/>
                <w:lang w:eastAsia="en-GB"/>
              </w:rPr>
              <w:t>Include standard (LicenseRef) metadata in article XML (</w:t>
            </w:r>
            <w:r>
              <w:rPr>
                <w:sz w:val="18"/>
                <w:szCs w:val="18"/>
                <w:lang w:eastAsia="en-GB"/>
              </w:rPr>
              <w:t>and other files where possible).</w:t>
            </w:r>
          </w:p>
          <w:p w14:paraId="29A112C8" w14:textId="77777777" w:rsidR="005C5584" w:rsidRPr="00237FD3" w:rsidRDefault="005C5584" w:rsidP="00656894">
            <w:pPr>
              <w:spacing w:after="120" w:line="240" w:lineRule="auto"/>
              <w:ind w:left="79" w:right="62"/>
              <w:rPr>
                <w:sz w:val="18"/>
                <w:szCs w:val="18"/>
                <w:lang w:eastAsia="en-GB"/>
              </w:rPr>
            </w:pPr>
            <w:r w:rsidRPr="00237FD3">
              <w:rPr>
                <w:sz w:val="18"/>
                <w:szCs w:val="18"/>
                <w:lang w:eastAsia="en-GB"/>
              </w:rPr>
              <w:t xml:space="preserve">Ensure a clear statement of </w:t>
            </w:r>
            <w:r w:rsidRPr="00656894">
              <w:rPr>
                <w:sz w:val="18"/>
                <w:szCs w:val="18"/>
                <w:lang w:eastAsia="en-GB"/>
              </w:rPr>
              <w:t xml:space="preserve">date </w:t>
            </w:r>
            <w:r>
              <w:rPr>
                <w:sz w:val="18"/>
                <w:szCs w:val="18"/>
                <w:lang w:eastAsia="en-GB"/>
              </w:rPr>
              <w:t>on which the article can be available under OA terms on an open repository.</w:t>
            </w:r>
          </w:p>
          <w:p w14:paraId="235A4E90" w14:textId="389CCCC4" w:rsidR="005C5584" w:rsidRPr="00015A42" w:rsidRDefault="005C5584" w:rsidP="00656894">
            <w:pPr>
              <w:spacing w:after="120" w:line="240" w:lineRule="auto"/>
              <w:ind w:left="79" w:right="62"/>
              <w:rPr>
                <w:color w:val="auto"/>
                <w:sz w:val="18"/>
                <w:szCs w:val="18"/>
                <w:lang w:eastAsia="en-GB"/>
              </w:rPr>
            </w:pPr>
            <w:r w:rsidRPr="00237FD3">
              <w:rPr>
                <w:sz w:val="18"/>
                <w:szCs w:val="18"/>
                <w:lang w:eastAsia="en-GB"/>
              </w:rPr>
              <w:t xml:space="preserve">Identify/label </w:t>
            </w:r>
            <w:r>
              <w:rPr>
                <w:sz w:val="18"/>
                <w:szCs w:val="18"/>
                <w:lang w:eastAsia="en-GB"/>
              </w:rPr>
              <w:t xml:space="preserve">Gold </w:t>
            </w:r>
            <w:r w:rsidRPr="00237FD3">
              <w:rPr>
                <w:sz w:val="18"/>
                <w:szCs w:val="18"/>
                <w:lang w:eastAsia="en-GB"/>
              </w:rPr>
              <w:t xml:space="preserve">OA articles on the </w:t>
            </w:r>
            <w:r>
              <w:rPr>
                <w:sz w:val="18"/>
                <w:szCs w:val="18"/>
                <w:lang w:eastAsia="en-GB"/>
              </w:rPr>
              <w:t>Table of Contents (</w:t>
            </w:r>
            <w:r w:rsidRPr="00237FD3">
              <w:rPr>
                <w:sz w:val="18"/>
                <w:szCs w:val="18"/>
                <w:lang w:eastAsia="en-GB"/>
              </w:rPr>
              <w:t>TOC</w:t>
            </w:r>
            <w:r>
              <w:rPr>
                <w:sz w:val="18"/>
                <w:szCs w:val="18"/>
                <w:lang w:eastAsia="en-GB"/>
              </w:rPr>
              <w:t>)</w:t>
            </w:r>
            <w:r w:rsidRPr="00237FD3">
              <w:rPr>
                <w:sz w:val="18"/>
                <w:szCs w:val="18"/>
                <w:lang w:eastAsia="en-GB"/>
              </w:rPr>
              <w:t xml:space="preserve">, landing page (e.g. abstract page) and </w:t>
            </w:r>
            <w:r w:rsidRPr="00015A42">
              <w:rPr>
                <w:color w:val="auto"/>
                <w:sz w:val="18"/>
                <w:szCs w:val="18"/>
                <w:lang w:eastAsia="en-GB"/>
              </w:rPr>
              <w:t>all manifestations of the full text.</w:t>
            </w:r>
          </w:p>
          <w:p w14:paraId="5A849DDD" w14:textId="77777777" w:rsidR="005C5584" w:rsidRPr="00237FD3" w:rsidRDefault="005C5584" w:rsidP="00656894">
            <w:pPr>
              <w:spacing w:after="120" w:line="240" w:lineRule="auto"/>
              <w:ind w:left="79" w:right="62"/>
              <w:rPr>
                <w:sz w:val="18"/>
                <w:szCs w:val="18"/>
                <w:lang w:eastAsia="en-GB"/>
              </w:rPr>
            </w:pPr>
          </w:p>
          <w:p w14:paraId="4B71A9A4" w14:textId="77777777" w:rsidR="005C5584" w:rsidRDefault="005C5584" w:rsidP="00015A42">
            <w:pPr>
              <w:spacing w:after="120" w:line="240" w:lineRule="auto"/>
              <w:ind w:left="79" w:right="62"/>
              <w:rPr>
                <w:color w:val="0070C0"/>
                <w:sz w:val="18"/>
                <w:szCs w:val="18"/>
                <w:lang w:eastAsia="en-GB"/>
              </w:rPr>
            </w:pPr>
            <w:r>
              <w:rPr>
                <w:noProof/>
              </w:rPr>
              <w:t>Also see the JATS4R recommendations on permissions:</w:t>
            </w:r>
            <w:r>
              <w:t xml:space="preserve"> </w:t>
            </w:r>
            <w:hyperlink r:id="rId15" w:history="1">
              <w:r w:rsidRPr="00507CCB">
                <w:rPr>
                  <w:rStyle w:val="Hyperlink"/>
                  <w:noProof/>
                </w:rPr>
                <w:t>http://jats4r.org/</w:t>
              </w:r>
            </w:hyperlink>
            <w:r w:rsidRPr="00E46EDE">
              <w:rPr>
                <w:color w:val="0070C0"/>
                <w:sz w:val="18"/>
                <w:szCs w:val="18"/>
                <w:lang w:eastAsia="en-GB"/>
              </w:rPr>
              <w:t xml:space="preserve"> </w:t>
            </w:r>
          </w:p>
          <w:p w14:paraId="2CA8FFED" w14:textId="629E6BF8" w:rsidR="005C5584" w:rsidRPr="00237FD3" w:rsidRDefault="005C5584" w:rsidP="00015A42">
            <w:pPr>
              <w:spacing w:after="120" w:line="240" w:lineRule="auto"/>
              <w:ind w:left="79" w:right="62"/>
              <w:rPr>
                <w:sz w:val="18"/>
                <w:szCs w:val="18"/>
                <w:lang w:eastAsia="en-GB"/>
              </w:rPr>
            </w:pPr>
            <w:r w:rsidRPr="00015A42">
              <w:rPr>
                <w:color w:val="auto"/>
                <w:sz w:val="18"/>
                <w:szCs w:val="18"/>
                <w:lang w:eastAsia="en-GB"/>
              </w:rPr>
              <w:t xml:space="preserve">Publishers to consider </w:t>
            </w:r>
            <w:r>
              <w:rPr>
                <w:color w:val="auto"/>
                <w:sz w:val="18"/>
                <w:szCs w:val="18"/>
                <w:lang w:eastAsia="en-GB"/>
              </w:rPr>
              <w:t>agreeing to use</w:t>
            </w:r>
            <w:r w:rsidRPr="00015A42">
              <w:rPr>
                <w:color w:val="auto"/>
                <w:sz w:val="18"/>
                <w:szCs w:val="18"/>
                <w:lang w:eastAsia="en-GB"/>
              </w:rPr>
              <w:t xml:space="preserve"> a common language to describe Gold OA.  </w:t>
            </w:r>
          </w:p>
        </w:tc>
      </w:tr>
      <w:tr w:rsidR="005C5584" w:rsidRPr="00237FD3" w14:paraId="2C485FF1" w14:textId="77777777" w:rsidTr="005C5584">
        <w:trPr>
          <w:cantSplit/>
          <w:trHeight w:val="1470"/>
        </w:trPr>
        <w:tc>
          <w:tcPr>
            <w:tcW w:w="320" w:type="dxa"/>
          </w:tcPr>
          <w:p w14:paraId="5EE56CFC"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2292F111" w14:textId="77777777" w:rsidR="005C5584" w:rsidRPr="00237FD3" w:rsidRDefault="005C5584" w:rsidP="00D864CC">
            <w:pPr>
              <w:spacing w:after="120" w:line="240" w:lineRule="auto"/>
              <w:ind w:left="79" w:right="62"/>
              <w:rPr>
                <w:sz w:val="18"/>
                <w:szCs w:val="18"/>
                <w:lang w:eastAsia="en-GB"/>
              </w:rPr>
            </w:pPr>
            <w:r w:rsidRPr="00237FD3">
              <w:rPr>
                <w:sz w:val="18"/>
                <w:szCs w:val="18"/>
                <w:lang w:eastAsia="en-GB"/>
              </w:rPr>
              <w:t>JOURNAL LEVEL OA LICENSING TERMS:</w:t>
            </w:r>
          </w:p>
          <w:p w14:paraId="7A36D3C4" w14:textId="2182DA25" w:rsidR="005C5584" w:rsidRPr="00237FD3" w:rsidRDefault="005C5584" w:rsidP="008D6F77">
            <w:pPr>
              <w:spacing w:after="120" w:line="240" w:lineRule="auto"/>
              <w:ind w:left="79" w:right="62"/>
              <w:rPr>
                <w:sz w:val="18"/>
                <w:szCs w:val="18"/>
                <w:lang w:eastAsia="en-GB"/>
              </w:rPr>
            </w:pPr>
            <w:r w:rsidRPr="00237FD3">
              <w:rPr>
                <w:sz w:val="18"/>
                <w:szCs w:val="18"/>
                <w:lang w:eastAsia="en-GB"/>
              </w:rPr>
              <w:t xml:space="preserve">The publisher should ensure clarity of an overall licensing/policy position at the </w:t>
            </w:r>
            <w:r>
              <w:rPr>
                <w:sz w:val="18"/>
                <w:szCs w:val="18"/>
                <w:lang w:eastAsia="en-GB"/>
              </w:rPr>
              <w:t>journal level for each version (Accepted Manuscript (AM) and Version of Record (VoR))</w:t>
            </w:r>
            <w:r w:rsidRPr="00237FD3">
              <w:rPr>
                <w:sz w:val="18"/>
                <w:szCs w:val="18"/>
                <w:lang w:eastAsia="en-GB"/>
              </w:rPr>
              <w:t xml:space="preserve"> including any embargo</w:t>
            </w:r>
            <w:r>
              <w:rPr>
                <w:sz w:val="18"/>
                <w:szCs w:val="18"/>
                <w:lang w:eastAsia="en-GB"/>
              </w:rPr>
              <w:t>e</w:t>
            </w:r>
            <w:r w:rsidRPr="00237FD3">
              <w:rPr>
                <w:sz w:val="18"/>
                <w:szCs w:val="18"/>
                <w:lang w:eastAsia="en-GB"/>
              </w:rPr>
              <w:t>s for each.</w:t>
            </w:r>
          </w:p>
        </w:tc>
        <w:tc>
          <w:tcPr>
            <w:tcW w:w="4110" w:type="dxa"/>
          </w:tcPr>
          <w:p w14:paraId="2467080E" w14:textId="77777777" w:rsidR="005C5584" w:rsidRPr="00237FD3" w:rsidRDefault="005C5584" w:rsidP="00D864CC">
            <w:pPr>
              <w:spacing w:after="120" w:line="240" w:lineRule="auto"/>
              <w:ind w:left="79" w:right="62"/>
              <w:rPr>
                <w:sz w:val="18"/>
                <w:szCs w:val="18"/>
                <w:lang w:eastAsia="en-GB"/>
              </w:rPr>
            </w:pPr>
            <w:r w:rsidRPr="00237FD3">
              <w:rPr>
                <w:sz w:val="18"/>
                <w:szCs w:val="18"/>
                <w:lang w:eastAsia="en-GB"/>
              </w:rPr>
              <w:t>To enable authors to make informed choice of journal based on what journals permit.</w:t>
            </w:r>
          </w:p>
          <w:p w14:paraId="1DB997F4" w14:textId="77777777" w:rsidR="005C5584" w:rsidRDefault="005C5584" w:rsidP="00D864CC">
            <w:pPr>
              <w:spacing w:after="120" w:line="240" w:lineRule="auto"/>
              <w:ind w:left="79" w:right="62"/>
              <w:rPr>
                <w:color w:val="0070C0"/>
                <w:sz w:val="18"/>
                <w:szCs w:val="18"/>
                <w:lang w:eastAsia="en-GB"/>
              </w:rPr>
            </w:pPr>
            <w:r w:rsidRPr="00237FD3">
              <w:rPr>
                <w:sz w:val="18"/>
                <w:szCs w:val="18"/>
                <w:lang w:eastAsia="en-GB"/>
              </w:rPr>
              <w:t>To enable repository staff &amp; Sherpa RoMEO to give informed advice about whether a given journal complies with a given funder's requirements, and to do so with maximum efficiency and accuracy.</w:t>
            </w:r>
          </w:p>
          <w:p w14:paraId="1FACD2AF" w14:textId="01AF90C0" w:rsidR="005C5584" w:rsidRPr="00237FD3" w:rsidRDefault="005C5584" w:rsidP="00015A42">
            <w:pPr>
              <w:spacing w:after="120" w:line="240" w:lineRule="auto"/>
              <w:ind w:left="79" w:right="62"/>
              <w:rPr>
                <w:sz w:val="18"/>
                <w:szCs w:val="18"/>
                <w:lang w:eastAsia="en-GB"/>
              </w:rPr>
            </w:pPr>
          </w:p>
        </w:tc>
        <w:tc>
          <w:tcPr>
            <w:tcW w:w="6663" w:type="dxa"/>
          </w:tcPr>
          <w:p w14:paraId="441B55FF" w14:textId="77777777" w:rsidR="005C5584" w:rsidRPr="00874618" w:rsidRDefault="005C5584" w:rsidP="00807FB5">
            <w:pPr>
              <w:suppressAutoHyphens w:val="0"/>
              <w:autoSpaceDN/>
              <w:spacing w:after="120" w:line="240" w:lineRule="auto"/>
              <w:ind w:left="79" w:right="62"/>
              <w:contextualSpacing/>
              <w:textAlignment w:val="auto"/>
              <w:rPr>
                <w:color w:val="auto"/>
                <w:sz w:val="18"/>
                <w:szCs w:val="18"/>
                <w:lang w:eastAsia="en-GB"/>
              </w:rPr>
            </w:pPr>
            <w:r w:rsidRPr="00874618">
              <w:rPr>
                <w:color w:val="auto"/>
                <w:sz w:val="18"/>
                <w:szCs w:val="18"/>
                <w:lang w:eastAsia="en-GB"/>
              </w:rPr>
              <w:t>Use standard terminology and definitions in publisher policies and licenses</w:t>
            </w:r>
          </w:p>
          <w:p w14:paraId="67BEE9FB" w14:textId="78735BBC" w:rsidR="005C5584" w:rsidRDefault="005C5584" w:rsidP="00807FB5">
            <w:pPr>
              <w:suppressAutoHyphens w:val="0"/>
              <w:autoSpaceDN/>
              <w:spacing w:after="120" w:line="240" w:lineRule="auto"/>
              <w:ind w:left="79" w:right="62"/>
              <w:contextualSpacing/>
              <w:textAlignment w:val="auto"/>
              <w:rPr>
                <w:color w:val="auto"/>
                <w:sz w:val="18"/>
                <w:szCs w:val="18"/>
                <w:lang w:eastAsia="en-GB"/>
              </w:rPr>
            </w:pPr>
            <w:r w:rsidRPr="00874618">
              <w:rPr>
                <w:color w:val="auto"/>
                <w:sz w:val="18"/>
                <w:szCs w:val="18"/>
                <w:lang w:eastAsia="en-GB"/>
              </w:rPr>
              <w:t>Work towards a standard schema/</w:t>
            </w:r>
            <w:r>
              <w:rPr>
                <w:sz w:val="18"/>
                <w:szCs w:val="18"/>
                <w:lang w:eastAsia="en-GB"/>
              </w:rPr>
              <w:t xml:space="preserve"> Document Type D</w:t>
            </w:r>
            <w:r w:rsidRPr="008D6F77">
              <w:rPr>
                <w:sz w:val="18"/>
                <w:szCs w:val="18"/>
                <w:lang w:eastAsia="en-GB"/>
              </w:rPr>
              <w:t xml:space="preserve">efinition </w:t>
            </w:r>
            <w:r>
              <w:rPr>
                <w:sz w:val="18"/>
                <w:szCs w:val="18"/>
                <w:lang w:eastAsia="en-GB"/>
              </w:rPr>
              <w:t>(</w:t>
            </w:r>
            <w:r w:rsidRPr="00237FD3">
              <w:rPr>
                <w:sz w:val="18"/>
                <w:szCs w:val="18"/>
                <w:lang w:eastAsia="en-GB"/>
              </w:rPr>
              <w:t>D</w:t>
            </w:r>
            <w:r>
              <w:rPr>
                <w:sz w:val="18"/>
                <w:szCs w:val="18"/>
                <w:lang w:eastAsia="en-GB"/>
              </w:rPr>
              <w:t xml:space="preserve">TD) </w:t>
            </w:r>
            <w:r w:rsidRPr="00874618">
              <w:rPr>
                <w:color w:val="auto"/>
                <w:sz w:val="18"/>
                <w:szCs w:val="18"/>
                <w:lang w:eastAsia="en-GB"/>
              </w:rPr>
              <w:t>for expressing machine-readable licenses and policies</w:t>
            </w:r>
          </w:p>
          <w:p w14:paraId="222333ED" w14:textId="77777777" w:rsidR="005C5584" w:rsidRDefault="005C5584" w:rsidP="00EB3A6A">
            <w:pPr>
              <w:tabs>
                <w:tab w:val="left" w:pos="1140"/>
              </w:tabs>
              <w:suppressAutoHyphens w:val="0"/>
              <w:autoSpaceDN/>
              <w:spacing w:after="120" w:line="240" w:lineRule="auto"/>
              <w:ind w:left="79" w:right="62"/>
              <w:contextualSpacing/>
              <w:textAlignment w:val="auto"/>
              <w:rPr>
                <w:color w:val="auto"/>
                <w:sz w:val="18"/>
                <w:szCs w:val="18"/>
                <w:lang w:eastAsia="en-GB"/>
              </w:rPr>
            </w:pPr>
          </w:p>
          <w:p w14:paraId="73EDE097" w14:textId="77777777" w:rsidR="005C5584" w:rsidRDefault="005C5584" w:rsidP="008D6F77">
            <w:pPr>
              <w:tabs>
                <w:tab w:val="left" w:pos="1140"/>
              </w:tabs>
              <w:suppressAutoHyphens w:val="0"/>
              <w:autoSpaceDN/>
              <w:spacing w:after="120" w:line="240" w:lineRule="auto"/>
              <w:ind w:left="79" w:right="62"/>
              <w:contextualSpacing/>
              <w:textAlignment w:val="auto"/>
              <w:rPr>
                <w:color w:val="0070C0"/>
                <w:sz w:val="18"/>
                <w:szCs w:val="18"/>
                <w:lang w:eastAsia="en-GB"/>
              </w:rPr>
            </w:pPr>
            <w:r>
              <w:rPr>
                <w:color w:val="auto"/>
                <w:sz w:val="18"/>
                <w:szCs w:val="18"/>
                <w:lang w:eastAsia="en-GB"/>
              </w:rPr>
              <w:t>Support Jisc-Publishers Association (PA)-</w:t>
            </w:r>
            <w:r w:rsidRPr="008D6F77">
              <w:rPr>
                <w:color w:val="auto"/>
                <w:sz w:val="18"/>
                <w:szCs w:val="18"/>
                <w:lang w:eastAsia="en-GB"/>
              </w:rPr>
              <w:t xml:space="preserve">Association of Learned and Professional Society Publishers </w:t>
            </w:r>
            <w:r>
              <w:rPr>
                <w:color w:val="auto"/>
                <w:sz w:val="18"/>
                <w:szCs w:val="18"/>
                <w:lang w:eastAsia="en-GB"/>
              </w:rPr>
              <w:t>(ALPSP) initiative to work towards these aims.</w:t>
            </w:r>
            <w:r w:rsidRPr="003B1E17">
              <w:rPr>
                <w:color w:val="0070C0"/>
                <w:sz w:val="18"/>
                <w:szCs w:val="18"/>
                <w:lang w:eastAsia="en-GB"/>
              </w:rPr>
              <w:t xml:space="preserve"> </w:t>
            </w:r>
          </w:p>
          <w:p w14:paraId="055921B6" w14:textId="77777777" w:rsidR="005C5584" w:rsidRDefault="005C5584" w:rsidP="008D6F77">
            <w:pPr>
              <w:tabs>
                <w:tab w:val="left" w:pos="1140"/>
              </w:tabs>
              <w:suppressAutoHyphens w:val="0"/>
              <w:autoSpaceDN/>
              <w:spacing w:after="120" w:line="240" w:lineRule="auto"/>
              <w:ind w:left="79" w:right="62"/>
              <w:contextualSpacing/>
              <w:textAlignment w:val="auto"/>
              <w:rPr>
                <w:color w:val="0070C0"/>
                <w:sz w:val="18"/>
                <w:szCs w:val="18"/>
                <w:lang w:eastAsia="en-GB"/>
              </w:rPr>
            </w:pPr>
          </w:p>
          <w:p w14:paraId="3B8BDA99" w14:textId="42CB1EF0" w:rsidR="005C5584" w:rsidRPr="00874618" w:rsidRDefault="005C5584" w:rsidP="00015A42">
            <w:pPr>
              <w:tabs>
                <w:tab w:val="left" w:pos="1140"/>
              </w:tabs>
              <w:suppressAutoHyphens w:val="0"/>
              <w:autoSpaceDN/>
              <w:spacing w:after="120" w:line="240" w:lineRule="auto"/>
              <w:ind w:left="79" w:right="62"/>
              <w:contextualSpacing/>
              <w:textAlignment w:val="auto"/>
              <w:rPr>
                <w:color w:val="auto"/>
                <w:sz w:val="18"/>
                <w:szCs w:val="18"/>
                <w:lang w:eastAsia="en-GB"/>
              </w:rPr>
            </w:pPr>
            <w:r>
              <w:rPr>
                <w:color w:val="auto"/>
                <w:sz w:val="18"/>
                <w:szCs w:val="18"/>
                <w:lang w:eastAsia="en-GB"/>
              </w:rPr>
              <w:t>Support initiatives to develop a common Scholarly Comms model licence</w:t>
            </w:r>
          </w:p>
        </w:tc>
      </w:tr>
      <w:tr w:rsidR="005C5584" w:rsidRPr="00237FD3" w14:paraId="0EFE3EEE" w14:textId="77777777" w:rsidTr="005C5584">
        <w:trPr>
          <w:cantSplit/>
          <w:trHeight w:val="1599"/>
        </w:trPr>
        <w:tc>
          <w:tcPr>
            <w:tcW w:w="320" w:type="dxa"/>
          </w:tcPr>
          <w:p w14:paraId="6F956854"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51D05F2B" w14:textId="77777777" w:rsidR="005C5584" w:rsidRPr="00237FD3" w:rsidRDefault="005C5584" w:rsidP="00D864CC">
            <w:pPr>
              <w:spacing w:after="120" w:line="240" w:lineRule="auto"/>
              <w:ind w:left="79" w:right="62"/>
              <w:rPr>
                <w:sz w:val="18"/>
                <w:szCs w:val="18"/>
                <w:lang w:eastAsia="en-GB"/>
              </w:rPr>
            </w:pPr>
            <w:r w:rsidRPr="00237FD3">
              <w:rPr>
                <w:sz w:val="18"/>
                <w:szCs w:val="18"/>
                <w:lang w:eastAsia="en-GB"/>
              </w:rPr>
              <w:t xml:space="preserve">CC-BY LICENCE FOR GOLD OA: </w:t>
            </w:r>
          </w:p>
          <w:p w14:paraId="41DFC9D1" w14:textId="77777777" w:rsidR="005C5584" w:rsidRPr="00237FD3" w:rsidRDefault="005C5584" w:rsidP="00EB59E4">
            <w:pPr>
              <w:spacing w:after="120" w:line="240" w:lineRule="auto"/>
              <w:ind w:left="79" w:right="62"/>
              <w:rPr>
                <w:sz w:val="18"/>
                <w:szCs w:val="18"/>
                <w:lang w:eastAsia="en-GB"/>
              </w:rPr>
            </w:pPr>
            <w:r w:rsidRPr="00237FD3">
              <w:rPr>
                <w:sz w:val="18"/>
                <w:szCs w:val="18"/>
                <w:lang w:eastAsia="en-GB"/>
              </w:rPr>
              <w:t>The publisher should ensure a CC BY</w:t>
            </w:r>
            <w:r>
              <w:rPr>
                <w:sz w:val="18"/>
                <w:szCs w:val="18"/>
                <w:lang w:eastAsia="en-GB"/>
              </w:rPr>
              <w:t xml:space="preserve"> licence is the </w:t>
            </w:r>
            <w:r w:rsidRPr="00EB59E4">
              <w:rPr>
                <w:b/>
                <w:i/>
                <w:sz w:val="18"/>
                <w:szCs w:val="18"/>
                <w:lang w:eastAsia="en-GB"/>
              </w:rPr>
              <w:t>only</w:t>
            </w:r>
            <w:r w:rsidRPr="00EB59E4">
              <w:rPr>
                <w:b/>
                <w:sz w:val="18"/>
                <w:szCs w:val="18"/>
                <w:lang w:eastAsia="en-GB"/>
              </w:rPr>
              <w:t xml:space="preserve"> </w:t>
            </w:r>
            <w:r>
              <w:rPr>
                <w:sz w:val="18"/>
                <w:szCs w:val="18"/>
                <w:lang w:eastAsia="en-GB"/>
              </w:rPr>
              <w:t xml:space="preserve">option </w:t>
            </w:r>
            <w:r w:rsidRPr="00237FD3">
              <w:rPr>
                <w:sz w:val="18"/>
                <w:szCs w:val="18"/>
                <w:lang w:eastAsia="en-GB"/>
              </w:rPr>
              <w:t xml:space="preserve">available for authors </w:t>
            </w:r>
            <w:r>
              <w:rPr>
                <w:sz w:val="18"/>
                <w:szCs w:val="18"/>
                <w:lang w:eastAsia="en-GB"/>
              </w:rPr>
              <w:t>when the funder requires this</w:t>
            </w:r>
            <w:r w:rsidRPr="00237FD3">
              <w:rPr>
                <w:sz w:val="18"/>
                <w:szCs w:val="18"/>
                <w:lang w:eastAsia="en-GB"/>
              </w:rPr>
              <w:t>.</w:t>
            </w:r>
          </w:p>
        </w:tc>
        <w:tc>
          <w:tcPr>
            <w:tcW w:w="4110" w:type="dxa"/>
          </w:tcPr>
          <w:p w14:paraId="414E1E8F" w14:textId="77777777" w:rsidR="005C5584" w:rsidRPr="00237FD3" w:rsidRDefault="005C5584" w:rsidP="00D864CC">
            <w:pPr>
              <w:spacing w:after="120" w:line="240" w:lineRule="auto"/>
              <w:ind w:left="79" w:right="62"/>
              <w:rPr>
                <w:sz w:val="18"/>
                <w:szCs w:val="18"/>
                <w:lang w:eastAsia="en-GB"/>
              </w:rPr>
            </w:pPr>
            <w:r w:rsidRPr="00237FD3">
              <w:rPr>
                <w:sz w:val="18"/>
                <w:szCs w:val="18"/>
                <w:lang w:eastAsia="en-GB"/>
              </w:rPr>
              <w:t>To enable compliance with OA funders supporting Gold OA publishing</w:t>
            </w:r>
          </w:p>
        </w:tc>
        <w:tc>
          <w:tcPr>
            <w:tcW w:w="6663" w:type="dxa"/>
          </w:tcPr>
          <w:p w14:paraId="6CF7204C" w14:textId="77777777" w:rsidR="005C5584" w:rsidRPr="00874618" w:rsidRDefault="005C5584" w:rsidP="00D864CC">
            <w:pPr>
              <w:spacing w:after="120" w:line="240" w:lineRule="auto"/>
              <w:ind w:left="79" w:right="62"/>
              <w:rPr>
                <w:color w:val="auto"/>
                <w:sz w:val="18"/>
                <w:szCs w:val="18"/>
                <w:lang w:eastAsia="en-GB"/>
              </w:rPr>
            </w:pPr>
            <w:r w:rsidRPr="00874618">
              <w:rPr>
                <w:color w:val="auto"/>
                <w:sz w:val="18"/>
                <w:szCs w:val="18"/>
                <w:lang w:eastAsia="en-GB"/>
              </w:rPr>
              <w:t>Put measures in place to enforce CC-BY for funders who support Gold OA with this condition (e.g. Wellcome Trust and R</w:t>
            </w:r>
            <w:r>
              <w:rPr>
                <w:color w:val="auto"/>
                <w:sz w:val="18"/>
                <w:szCs w:val="18"/>
                <w:lang w:eastAsia="en-GB"/>
              </w:rPr>
              <w:t>C</w:t>
            </w:r>
            <w:r w:rsidRPr="00874618">
              <w:rPr>
                <w:color w:val="auto"/>
                <w:sz w:val="18"/>
                <w:szCs w:val="18"/>
                <w:lang w:eastAsia="en-GB"/>
              </w:rPr>
              <w:t>UK in the UK).</w:t>
            </w:r>
          </w:p>
          <w:p w14:paraId="5F9F0755" w14:textId="77777777" w:rsidR="005C5584" w:rsidRPr="00874618" w:rsidRDefault="005C5584" w:rsidP="00D864CC">
            <w:pPr>
              <w:spacing w:after="120" w:line="240" w:lineRule="auto"/>
              <w:ind w:left="79" w:right="62"/>
              <w:rPr>
                <w:color w:val="auto"/>
                <w:sz w:val="18"/>
                <w:szCs w:val="18"/>
                <w:lang w:eastAsia="en-GB"/>
              </w:rPr>
            </w:pPr>
            <w:r>
              <w:rPr>
                <w:color w:val="auto"/>
                <w:sz w:val="18"/>
                <w:szCs w:val="18"/>
                <w:lang w:eastAsia="en-GB"/>
              </w:rPr>
              <w:t>For example: a</w:t>
            </w:r>
            <w:r w:rsidRPr="00874618">
              <w:rPr>
                <w:color w:val="auto"/>
                <w:sz w:val="18"/>
                <w:szCs w:val="18"/>
                <w:lang w:eastAsia="en-GB"/>
              </w:rPr>
              <w:t xml:space="preserve">lert </w:t>
            </w:r>
            <w:r>
              <w:rPr>
                <w:color w:val="auto"/>
                <w:sz w:val="18"/>
                <w:szCs w:val="18"/>
                <w:lang w:eastAsia="en-GB"/>
              </w:rPr>
              <w:t xml:space="preserve">the </w:t>
            </w:r>
            <w:r w:rsidRPr="00874618">
              <w:rPr>
                <w:color w:val="auto"/>
                <w:sz w:val="18"/>
                <w:szCs w:val="18"/>
                <w:lang w:eastAsia="en-GB"/>
              </w:rPr>
              <w:t xml:space="preserve">author at the point where they choose a licence that their funder may have specific requirements, and that they should check their grant conditions </w:t>
            </w:r>
            <w:r w:rsidRPr="002E558E">
              <w:rPr>
                <w:i/>
                <w:color w:val="auto"/>
                <w:sz w:val="18"/>
                <w:szCs w:val="18"/>
                <w:lang w:eastAsia="en-GB"/>
              </w:rPr>
              <w:t>before</w:t>
            </w:r>
            <w:r w:rsidRPr="00874618">
              <w:rPr>
                <w:color w:val="auto"/>
                <w:sz w:val="18"/>
                <w:szCs w:val="18"/>
                <w:lang w:eastAsia="en-GB"/>
              </w:rPr>
              <w:t xml:space="preserve"> making their choice.</w:t>
            </w:r>
          </w:p>
          <w:p w14:paraId="72E92E4E" w14:textId="77777777" w:rsidR="005C5584" w:rsidRPr="00874618" w:rsidRDefault="005C5584" w:rsidP="00C32FEA">
            <w:pPr>
              <w:spacing w:after="120" w:line="240" w:lineRule="auto"/>
              <w:ind w:left="79" w:right="62"/>
              <w:rPr>
                <w:color w:val="auto"/>
                <w:sz w:val="18"/>
                <w:szCs w:val="18"/>
                <w:lang w:eastAsia="en-GB"/>
              </w:rPr>
            </w:pPr>
            <w:r>
              <w:rPr>
                <w:color w:val="auto"/>
                <w:sz w:val="18"/>
                <w:szCs w:val="18"/>
                <w:lang w:eastAsia="en-GB"/>
              </w:rPr>
              <w:t xml:space="preserve">Ensure </w:t>
            </w:r>
            <w:r w:rsidRPr="00874618">
              <w:rPr>
                <w:color w:val="auto"/>
                <w:sz w:val="18"/>
                <w:szCs w:val="18"/>
                <w:lang w:eastAsia="en-GB"/>
              </w:rPr>
              <w:t xml:space="preserve">client societies </w:t>
            </w:r>
            <w:r>
              <w:rPr>
                <w:color w:val="auto"/>
                <w:sz w:val="18"/>
                <w:szCs w:val="18"/>
                <w:lang w:eastAsia="en-GB"/>
              </w:rPr>
              <w:t xml:space="preserve">understand </w:t>
            </w:r>
            <w:r w:rsidRPr="00874618">
              <w:rPr>
                <w:color w:val="auto"/>
                <w:sz w:val="18"/>
                <w:szCs w:val="18"/>
                <w:lang w:eastAsia="en-GB"/>
              </w:rPr>
              <w:t xml:space="preserve">the benefits of </w:t>
            </w:r>
            <w:r>
              <w:rPr>
                <w:color w:val="auto"/>
                <w:sz w:val="18"/>
                <w:szCs w:val="18"/>
                <w:lang w:eastAsia="en-GB"/>
              </w:rPr>
              <w:t>offering</w:t>
            </w:r>
            <w:r w:rsidRPr="00874618">
              <w:rPr>
                <w:color w:val="auto"/>
                <w:sz w:val="18"/>
                <w:szCs w:val="18"/>
                <w:lang w:eastAsia="en-GB"/>
              </w:rPr>
              <w:t xml:space="preserve"> CC-BY. </w:t>
            </w:r>
          </w:p>
        </w:tc>
      </w:tr>
      <w:tr w:rsidR="005C5584" w:rsidRPr="00237FD3" w14:paraId="373E749F" w14:textId="77777777" w:rsidTr="005C5584">
        <w:trPr>
          <w:cantSplit/>
          <w:trHeight w:val="1127"/>
        </w:trPr>
        <w:tc>
          <w:tcPr>
            <w:tcW w:w="320" w:type="dxa"/>
          </w:tcPr>
          <w:p w14:paraId="4AC0EC1B"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662E91C3" w14:textId="77777777" w:rsidR="005C5584" w:rsidRPr="00237FD3" w:rsidRDefault="005C5584" w:rsidP="00D864CC">
            <w:pPr>
              <w:spacing w:after="120" w:line="240" w:lineRule="auto"/>
              <w:ind w:left="79" w:right="62"/>
              <w:rPr>
                <w:sz w:val="18"/>
                <w:szCs w:val="18"/>
                <w:lang w:eastAsia="en-GB"/>
              </w:rPr>
            </w:pPr>
            <w:r w:rsidRPr="00237FD3">
              <w:rPr>
                <w:sz w:val="18"/>
                <w:szCs w:val="18"/>
                <w:lang w:eastAsia="en-GB"/>
              </w:rPr>
              <w:t xml:space="preserve">EMBARGO PERIODS FOR GREEN OA: </w:t>
            </w:r>
          </w:p>
          <w:p w14:paraId="6E028FFB" w14:textId="5663A05E" w:rsidR="005C5584" w:rsidRDefault="005C5584" w:rsidP="00122A74">
            <w:pPr>
              <w:spacing w:after="120" w:line="240" w:lineRule="auto"/>
              <w:ind w:left="79" w:right="62"/>
              <w:rPr>
                <w:color w:val="0070C0"/>
                <w:sz w:val="18"/>
                <w:szCs w:val="18"/>
              </w:rPr>
            </w:pPr>
            <w:r w:rsidRPr="004E1962">
              <w:rPr>
                <w:color w:val="auto"/>
                <w:sz w:val="18"/>
                <w:szCs w:val="18"/>
              </w:rPr>
              <w:t xml:space="preserve">The publisher </w:t>
            </w:r>
            <w:r>
              <w:rPr>
                <w:color w:val="auto"/>
                <w:sz w:val="18"/>
                <w:szCs w:val="18"/>
              </w:rPr>
              <w:t>should ensure</w:t>
            </w:r>
            <w:r w:rsidRPr="004E1962">
              <w:rPr>
                <w:color w:val="auto"/>
                <w:sz w:val="18"/>
                <w:szCs w:val="18"/>
              </w:rPr>
              <w:t xml:space="preserve"> that its embargo periods for Green OA are set with due reference to the views of the </w:t>
            </w:r>
            <w:r>
              <w:rPr>
                <w:color w:val="auto"/>
                <w:sz w:val="18"/>
                <w:szCs w:val="18"/>
              </w:rPr>
              <w:t xml:space="preserve">funders of the </w:t>
            </w:r>
            <w:r w:rsidRPr="004E1962">
              <w:rPr>
                <w:color w:val="auto"/>
                <w:sz w:val="18"/>
                <w:szCs w:val="18"/>
              </w:rPr>
              <w:t xml:space="preserve">academic research community, and in any case are no more than 12 months for </w:t>
            </w:r>
            <w:r w:rsidRPr="008D6F77">
              <w:rPr>
                <w:color w:val="auto"/>
                <w:sz w:val="18"/>
                <w:szCs w:val="18"/>
              </w:rPr>
              <w:t xml:space="preserve">Science, Technology, Engineering, and Mathematics </w:t>
            </w:r>
            <w:r>
              <w:rPr>
                <w:color w:val="auto"/>
                <w:sz w:val="18"/>
                <w:szCs w:val="18"/>
              </w:rPr>
              <w:t xml:space="preserve">(STEM) </w:t>
            </w:r>
            <w:r w:rsidRPr="004E1962">
              <w:rPr>
                <w:color w:val="auto"/>
                <w:sz w:val="18"/>
                <w:szCs w:val="18"/>
              </w:rPr>
              <w:t xml:space="preserve">subjects or 24 months for </w:t>
            </w:r>
            <w:r>
              <w:rPr>
                <w:color w:val="auto"/>
                <w:sz w:val="18"/>
                <w:szCs w:val="18"/>
              </w:rPr>
              <w:t>Arts, Humanities and Social Sciences (</w:t>
            </w:r>
            <w:r w:rsidRPr="004E1962">
              <w:rPr>
                <w:color w:val="auto"/>
                <w:sz w:val="18"/>
                <w:szCs w:val="18"/>
              </w:rPr>
              <w:t>AHSS</w:t>
            </w:r>
            <w:r>
              <w:rPr>
                <w:color w:val="auto"/>
                <w:sz w:val="18"/>
                <w:szCs w:val="18"/>
              </w:rPr>
              <w:t>)</w:t>
            </w:r>
            <w:r w:rsidRPr="004E1962">
              <w:rPr>
                <w:color w:val="auto"/>
                <w:sz w:val="18"/>
                <w:szCs w:val="18"/>
              </w:rPr>
              <w:t xml:space="preserve"> as absolute maxima.</w:t>
            </w:r>
            <w:r>
              <w:rPr>
                <w:color w:val="0070C0"/>
                <w:sz w:val="18"/>
                <w:szCs w:val="18"/>
              </w:rPr>
              <w:t xml:space="preserve"> </w:t>
            </w:r>
          </w:p>
          <w:p w14:paraId="3C58F7EA" w14:textId="21D114E3" w:rsidR="005C5584" w:rsidRDefault="005C5584" w:rsidP="00122A74">
            <w:pPr>
              <w:spacing w:after="120" w:line="240" w:lineRule="auto"/>
              <w:ind w:left="79" w:right="62"/>
              <w:rPr>
                <w:color w:val="0070C0"/>
                <w:sz w:val="18"/>
                <w:szCs w:val="18"/>
              </w:rPr>
            </w:pPr>
            <w:r>
              <w:rPr>
                <w:color w:val="0070C0"/>
                <w:sz w:val="18"/>
                <w:szCs w:val="18"/>
              </w:rPr>
              <w:t xml:space="preserve">[The standard suggested does not yet meet all the anticipated requirements.   For example: </w:t>
            </w:r>
            <w:r w:rsidRPr="00E46EDE">
              <w:rPr>
                <w:color w:val="0070C0"/>
                <w:sz w:val="18"/>
                <w:szCs w:val="18"/>
              </w:rPr>
              <w:t>Horizon 2020 (OA within 6 months of publication and 12 months of publication in the social sciences and humanities) as well as the COAR guidelines for assessing publisher repository services (12 months, and 6 months for STM). In addition, on a national level, in the proposal for the Swedish national guidelines, the goal for 2020 is that all peer-reviewed articles shall be freely accessible to read and download 6 months after publication</w:t>
            </w:r>
            <w:r>
              <w:rPr>
                <w:color w:val="0070C0"/>
                <w:sz w:val="18"/>
                <w:szCs w:val="18"/>
              </w:rPr>
              <w:t>.]</w:t>
            </w:r>
          </w:p>
          <w:p w14:paraId="239ACA65" w14:textId="442D9B48" w:rsidR="005C5584" w:rsidRPr="004E1962" w:rsidRDefault="005C5584" w:rsidP="008D6F77">
            <w:pPr>
              <w:spacing w:after="120" w:line="240" w:lineRule="auto"/>
              <w:ind w:left="79" w:right="62"/>
              <w:rPr>
                <w:sz w:val="18"/>
                <w:szCs w:val="18"/>
                <w:lang w:eastAsia="en-GB"/>
              </w:rPr>
            </w:pPr>
          </w:p>
        </w:tc>
        <w:tc>
          <w:tcPr>
            <w:tcW w:w="4110" w:type="dxa"/>
          </w:tcPr>
          <w:p w14:paraId="78AE8D45" w14:textId="77777777" w:rsidR="005C5584" w:rsidRDefault="005C5584" w:rsidP="001D486B">
            <w:pPr>
              <w:spacing w:after="120" w:line="240" w:lineRule="auto"/>
              <w:ind w:left="79" w:right="62"/>
              <w:rPr>
                <w:sz w:val="18"/>
                <w:szCs w:val="18"/>
                <w:lang w:eastAsia="en-GB"/>
              </w:rPr>
            </w:pPr>
            <w:r w:rsidRPr="00237FD3">
              <w:rPr>
                <w:sz w:val="18"/>
                <w:szCs w:val="18"/>
                <w:lang w:eastAsia="en-GB"/>
              </w:rPr>
              <w:t>To ensure all outputs can comply with funder OA policies.</w:t>
            </w:r>
          </w:p>
          <w:p w14:paraId="5B6E7DFC" w14:textId="77777777" w:rsidR="005C5584" w:rsidRDefault="005C5584" w:rsidP="001D486B">
            <w:pPr>
              <w:spacing w:after="120" w:line="240" w:lineRule="auto"/>
              <w:ind w:left="79" w:right="62"/>
              <w:rPr>
                <w:sz w:val="18"/>
                <w:szCs w:val="18"/>
                <w:lang w:eastAsia="en-GB"/>
              </w:rPr>
            </w:pPr>
          </w:p>
          <w:p w14:paraId="04535565" w14:textId="0F8F4E3B" w:rsidR="005C5584" w:rsidRPr="00237FD3" w:rsidRDefault="005C5584" w:rsidP="001D486B">
            <w:pPr>
              <w:spacing w:after="120" w:line="240" w:lineRule="auto"/>
              <w:ind w:left="79" w:right="62"/>
              <w:rPr>
                <w:sz w:val="18"/>
                <w:szCs w:val="18"/>
                <w:lang w:eastAsia="en-GB"/>
              </w:rPr>
            </w:pPr>
          </w:p>
        </w:tc>
        <w:tc>
          <w:tcPr>
            <w:tcW w:w="6663" w:type="dxa"/>
          </w:tcPr>
          <w:p w14:paraId="0BFFA8DC" w14:textId="77777777" w:rsidR="005C5584" w:rsidRPr="00874618" w:rsidRDefault="005C5584" w:rsidP="00D864CC">
            <w:pPr>
              <w:spacing w:after="120" w:line="240" w:lineRule="auto"/>
              <w:ind w:left="79" w:right="62"/>
              <w:rPr>
                <w:color w:val="auto"/>
                <w:sz w:val="18"/>
                <w:szCs w:val="18"/>
              </w:rPr>
            </w:pPr>
            <w:r w:rsidRPr="00874618">
              <w:rPr>
                <w:color w:val="auto"/>
                <w:sz w:val="18"/>
                <w:szCs w:val="18"/>
                <w:lang w:eastAsia="en-GB"/>
              </w:rPr>
              <w:t>Some publishers will need to ensure their client societies understand the implications of this for OA policy compliance around the world.</w:t>
            </w:r>
            <w:r w:rsidRPr="00874618">
              <w:rPr>
                <w:color w:val="auto"/>
                <w:sz w:val="18"/>
                <w:szCs w:val="18"/>
              </w:rPr>
              <w:t xml:space="preserve"> </w:t>
            </w:r>
          </w:p>
          <w:p w14:paraId="69FDB6FE" w14:textId="77777777" w:rsidR="005C5584" w:rsidRPr="00874618" w:rsidRDefault="005C5584" w:rsidP="000428BC">
            <w:pPr>
              <w:spacing w:after="120" w:line="240" w:lineRule="auto"/>
              <w:ind w:left="79" w:right="62"/>
              <w:rPr>
                <w:color w:val="auto"/>
                <w:sz w:val="18"/>
                <w:szCs w:val="18"/>
                <w:lang w:eastAsia="en-GB"/>
              </w:rPr>
            </w:pPr>
          </w:p>
        </w:tc>
      </w:tr>
      <w:tr w:rsidR="005C5584" w:rsidRPr="00237FD3" w14:paraId="6DA99210" w14:textId="77777777" w:rsidTr="005C5584">
        <w:trPr>
          <w:cantSplit/>
          <w:trHeight w:val="1859"/>
        </w:trPr>
        <w:tc>
          <w:tcPr>
            <w:tcW w:w="320" w:type="dxa"/>
          </w:tcPr>
          <w:p w14:paraId="720CCB14"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6FD7BDDE"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AUTHOR’S ACCEPTANCE LETTER:</w:t>
            </w:r>
          </w:p>
          <w:p w14:paraId="429BD460"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The publisher should ensure that the acceptance letter to the author includes</w:t>
            </w:r>
          </w:p>
          <w:p w14:paraId="6F2F41E9" w14:textId="77777777" w:rsidR="005C5584" w:rsidRPr="007B0168" w:rsidRDefault="005C5584" w:rsidP="00D864CC">
            <w:pPr>
              <w:pStyle w:val="ListParagraph"/>
              <w:numPr>
                <w:ilvl w:val="0"/>
                <w:numId w:val="32"/>
              </w:numPr>
              <w:spacing w:after="0" w:line="240" w:lineRule="auto"/>
              <w:ind w:left="436" w:right="62" w:hanging="357"/>
              <w:rPr>
                <w:rFonts w:eastAsia="Times New Roman" w:cs="Arial"/>
                <w:color w:val="auto"/>
                <w:sz w:val="18"/>
                <w:szCs w:val="18"/>
                <w:lang w:eastAsia="en-GB"/>
              </w:rPr>
            </w:pPr>
            <w:r w:rsidRPr="007B0168">
              <w:rPr>
                <w:color w:val="auto"/>
                <w:sz w:val="18"/>
                <w:szCs w:val="18"/>
                <w:lang w:eastAsia="en-GB"/>
              </w:rPr>
              <w:t>A clear acceptance date</w:t>
            </w:r>
          </w:p>
          <w:p w14:paraId="03007C16" w14:textId="5DA6DE4B" w:rsidR="005C5584" w:rsidRPr="007B0168" w:rsidRDefault="005C5584" w:rsidP="00D864CC">
            <w:pPr>
              <w:pStyle w:val="ListParagraph"/>
              <w:numPr>
                <w:ilvl w:val="0"/>
                <w:numId w:val="32"/>
              </w:numPr>
              <w:spacing w:after="0" w:line="240" w:lineRule="auto"/>
              <w:ind w:left="436" w:right="62" w:hanging="357"/>
              <w:rPr>
                <w:rFonts w:eastAsia="Times New Roman" w:cs="Arial"/>
                <w:color w:val="auto"/>
                <w:sz w:val="18"/>
                <w:szCs w:val="18"/>
                <w:lang w:eastAsia="en-GB"/>
              </w:rPr>
            </w:pPr>
            <w:r w:rsidRPr="007B0168">
              <w:rPr>
                <w:color w:val="auto"/>
                <w:sz w:val="18"/>
                <w:szCs w:val="18"/>
                <w:lang w:eastAsia="en-GB"/>
              </w:rPr>
              <w:t>A clear statement on what the author may do with the A</w:t>
            </w:r>
            <w:r>
              <w:rPr>
                <w:color w:val="auto"/>
                <w:sz w:val="18"/>
                <w:szCs w:val="18"/>
                <w:lang w:eastAsia="en-GB"/>
              </w:rPr>
              <w:t xml:space="preserve">ccepted </w:t>
            </w:r>
            <w:r w:rsidRPr="007B0168">
              <w:rPr>
                <w:color w:val="auto"/>
                <w:sz w:val="18"/>
                <w:szCs w:val="18"/>
                <w:lang w:eastAsia="en-GB"/>
              </w:rPr>
              <w:t>M</w:t>
            </w:r>
            <w:r>
              <w:rPr>
                <w:color w:val="auto"/>
                <w:sz w:val="18"/>
                <w:szCs w:val="18"/>
                <w:lang w:eastAsia="en-GB"/>
              </w:rPr>
              <w:t>anuscript (AM)</w:t>
            </w:r>
            <w:r w:rsidRPr="007B0168">
              <w:rPr>
                <w:color w:val="auto"/>
                <w:sz w:val="18"/>
                <w:szCs w:val="18"/>
                <w:lang w:eastAsia="en-GB"/>
              </w:rPr>
              <w:t xml:space="preserve"> </w:t>
            </w:r>
          </w:p>
          <w:p w14:paraId="1EDD0672" w14:textId="77777777" w:rsidR="005C5584" w:rsidRDefault="005C5584" w:rsidP="001E3DE0">
            <w:pPr>
              <w:pStyle w:val="ListParagraph"/>
              <w:numPr>
                <w:ilvl w:val="0"/>
                <w:numId w:val="32"/>
              </w:numPr>
              <w:spacing w:after="120" w:line="240" w:lineRule="auto"/>
              <w:ind w:right="62"/>
              <w:rPr>
                <w:color w:val="auto"/>
                <w:sz w:val="18"/>
                <w:szCs w:val="18"/>
                <w:lang w:eastAsia="en-GB"/>
              </w:rPr>
            </w:pPr>
            <w:r w:rsidRPr="007B0168">
              <w:rPr>
                <w:color w:val="auto"/>
                <w:sz w:val="18"/>
                <w:szCs w:val="18"/>
                <w:lang w:eastAsia="en-GB"/>
              </w:rPr>
              <w:t>A statement asking authors to forward the letter to their librarian or repository manager, and all of the co-authors (if they have not already been copied in)</w:t>
            </w:r>
          </w:p>
          <w:p w14:paraId="0AAD9819" w14:textId="77777777" w:rsidR="005C5584" w:rsidRDefault="005C5584" w:rsidP="001E3DE0">
            <w:pPr>
              <w:pStyle w:val="ListParagraph"/>
              <w:numPr>
                <w:ilvl w:val="0"/>
                <w:numId w:val="32"/>
              </w:numPr>
              <w:spacing w:after="120" w:line="240" w:lineRule="auto"/>
              <w:ind w:right="62"/>
              <w:rPr>
                <w:color w:val="auto"/>
                <w:sz w:val="18"/>
                <w:szCs w:val="18"/>
                <w:lang w:eastAsia="en-GB"/>
              </w:rPr>
            </w:pPr>
            <w:r>
              <w:rPr>
                <w:color w:val="auto"/>
                <w:sz w:val="18"/>
                <w:szCs w:val="18"/>
                <w:lang w:eastAsia="en-GB"/>
              </w:rPr>
              <w:t>The article’s DOI (even if not yet registered on CrossRef but known internally)</w:t>
            </w:r>
            <w:r w:rsidRPr="007B0168">
              <w:rPr>
                <w:color w:val="auto"/>
                <w:sz w:val="18"/>
                <w:szCs w:val="18"/>
                <w:lang w:eastAsia="en-GB"/>
              </w:rPr>
              <w:t>.</w:t>
            </w:r>
          </w:p>
          <w:p w14:paraId="44A515F5" w14:textId="2B59F750" w:rsidR="005C5584" w:rsidRPr="000520AA" w:rsidRDefault="005C5584" w:rsidP="000520AA">
            <w:pPr>
              <w:spacing w:after="120" w:line="240" w:lineRule="auto"/>
              <w:ind w:left="39" w:right="62" w:hanging="39"/>
              <w:rPr>
                <w:color w:val="auto"/>
                <w:sz w:val="18"/>
                <w:szCs w:val="18"/>
                <w:lang w:eastAsia="en-GB"/>
              </w:rPr>
            </w:pPr>
            <w:r>
              <w:rPr>
                <w:color w:val="auto"/>
                <w:sz w:val="18"/>
                <w:szCs w:val="18"/>
                <w:lang w:eastAsia="en-GB"/>
              </w:rPr>
              <w:t xml:space="preserve">  Ideally a copy of the letter should go to the designated institutional OA contact</w:t>
            </w:r>
          </w:p>
        </w:tc>
        <w:tc>
          <w:tcPr>
            <w:tcW w:w="4110" w:type="dxa"/>
          </w:tcPr>
          <w:p w14:paraId="0C483A2A" w14:textId="77777777" w:rsidR="005C5584"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Providing this authoritative statement at acceptance will save staff time at the author’s institution in searching for and interpreting any policy on the publisher’s web site, a time-consuming task. </w:t>
            </w:r>
          </w:p>
          <w:p w14:paraId="3B710D02" w14:textId="77777777" w:rsidR="005C5584" w:rsidRPr="007B0168" w:rsidRDefault="005C5584" w:rsidP="000520AA">
            <w:pPr>
              <w:spacing w:after="120" w:line="240" w:lineRule="auto"/>
              <w:ind w:left="79" w:right="62"/>
              <w:rPr>
                <w:color w:val="auto"/>
                <w:sz w:val="18"/>
                <w:szCs w:val="18"/>
                <w:lang w:eastAsia="en-GB"/>
              </w:rPr>
            </w:pPr>
            <w:r w:rsidRPr="007B0168">
              <w:rPr>
                <w:color w:val="auto"/>
                <w:sz w:val="18"/>
                <w:szCs w:val="18"/>
                <w:lang w:eastAsia="en-GB"/>
              </w:rPr>
              <w:t xml:space="preserve">To prompt author to upload to </w:t>
            </w:r>
            <w:r>
              <w:rPr>
                <w:color w:val="auto"/>
                <w:sz w:val="18"/>
                <w:szCs w:val="18"/>
                <w:lang w:eastAsia="en-GB"/>
              </w:rPr>
              <w:t>Institutional R</w:t>
            </w:r>
            <w:r w:rsidRPr="007B0168">
              <w:rPr>
                <w:color w:val="auto"/>
                <w:sz w:val="18"/>
                <w:szCs w:val="18"/>
                <w:lang w:eastAsia="en-GB"/>
              </w:rPr>
              <w:t>epository (IR), or to ask their IR staff to do so.</w:t>
            </w:r>
          </w:p>
          <w:p w14:paraId="7B0CCFAD" w14:textId="77777777" w:rsidR="005C5584" w:rsidRPr="007B0168" w:rsidRDefault="005C5584" w:rsidP="000520AA">
            <w:pPr>
              <w:spacing w:after="120" w:line="240" w:lineRule="auto"/>
              <w:ind w:left="79" w:right="62"/>
              <w:rPr>
                <w:color w:val="auto"/>
                <w:sz w:val="18"/>
                <w:szCs w:val="18"/>
                <w:lang w:eastAsia="en-GB"/>
              </w:rPr>
            </w:pPr>
            <w:r w:rsidRPr="007B0168">
              <w:rPr>
                <w:color w:val="auto"/>
                <w:sz w:val="18"/>
                <w:szCs w:val="18"/>
                <w:lang w:eastAsia="en-GB"/>
              </w:rPr>
              <w:t>To ensure all co-authors are also prompted and are aware of date of acceptance.</w:t>
            </w:r>
          </w:p>
          <w:p w14:paraId="35882AC4" w14:textId="77777777" w:rsidR="005C5584" w:rsidRPr="007B0168" w:rsidRDefault="005C5584" w:rsidP="000520AA">
            <w:pPr>
              <w:spacing w:after="120" w:line="240" w:lineRule="auto"/>
              <w:ind w:left="79" w:right="62"/>
              <w:rPr>
                <w:color w:val="auto"/>
                <w:sz w:val="18"/>
                <w:szCs w:val="18"/>
                <w:lang w:eastAsia="en-GB"/>
              </w:rPr>
            </w:pPr>
            <w:r w:rsidRPr="007B0168">
              <w:rPr>
                <w:color w:val="auto"/>
                <w:sz w:val="18"/>
                <w:szCs w:val="18"/>
                <w:lang w:eastAsia="en-GB"/>
              </w:rPr>
              <w:t>To save IR staff and publishers time in investigating details of the acceptance date.</w:t>
            </w:r>
          </w:p>
          <w:p w14:paraId="35718E9B" w14:textId="77777777" w:rsidR="005C5584" w:rsidRDefault="005C5584" w:rsidP="00D864CC">
            <w:pPr>
              <w:spacing w:after="120" w:line="240" w:lineRule="auto"/>
              <w:ind w:left="79" w:right="62"/>
              <w:rPr>
                <w:color w:val="auto"/>
                <w:sz w:val="18"/>
                <w:szCs w:val="18"/>
                <w:lang w:eastAsia="en-GB"/>
              </w:rPr>
            </w:pPr>
            <w:r w:rsidRPr="007B0168">
              <w:rPr>
                <w:color w:val="auto"/>
                <w:sz w:val="18"/>
                <w:szCs w:val="18"/>
                <w:lang w:eastAsia="en-GB"/>
              </w:rPr>
              <w:t>It will also provide clarity for the authors themselves.</w:t>
            </w:r>
          </w:p>
          <w:p w14:paraId="49EC25CA" w14:textId="6078A247" w:rsidR="005C5584" w:rsidRPr="007B0168" w:rsidRDefault="005C5584" w:rsidP="00D864CC">
            <w:pPr>
              <w:spacing w:after="120" w:line="240" w:lineRule="auto"/>
              <w:ind w:left="79" w:right="62"/>
              <w:rPr>
                <w:color w:val="auto"/>
                <w:sz w:val="18"/>
                <w:szCs w:val="18"/>
                <w:lang w:eastAsia="en-GB"/>
              </w:rPr>
            </w:pPr>
            <w:r>
              <w:rPr>
                <w:color w:val="auto"/>
                <w:sz w:val="18"/>
                <w:szCs w:val="18"/>
                <w:lang w:eastAsia="en-GB"/>
              </w:rPr>
              <w:t>This would improve the metadata quality in IRs.</w:t>
            </w:r>
          </w:p>
        </w:tc>
        <w:tc>
          <w:tcPr>
            <w:tcW w:w="6663" w:type="dxa"/>
          </w:tcPr>
          <w:p w14:paraId="037289A2" w14:textId="2AEF56DC" w:rsidR="005C5584" w:rsidRPr="007B0168" w:rsidRDefault="005C5584" w:rsidP="008A07D3">
            <w:pPr>
              <w:spacing w:after="120" w:line="240" w:lineRule="auto"/>
              <w:ind w:left="142" w:right="62"/>
              <w:rPr>
                <w:color w:val="auto"/>
                <w:sz w:val="18"/>
                <w:szCs w:val="18"/>
                <w:lang w:eastAsia="en-GB"/>
              </w:rPr>
            </w:pPr>
            <w:r w:rsidRPr="007B0168">
              <w:rPr>
                <w:color w:val="auto"/>
                <w:sz w:val="18"/>
                <w:szCs w:val="18"/>
                <w:lang w:eastAsia="en-GB"/>
              </w:rPr>
              <w:t xml:space="preserve">The statement should provide the terms under which the article may be deposited and made publicly available, including any embargo period and the license that then applies to the </w:t>
            </w:r>
            <w:r>
              <w:rPr>
                <w:color w:val="auto"/>
                <w:sz w:val="18"/>
                <w:szCs w:val="18"/>
                <w:lang w:eastAsia="en-GB"/>
              </w:rPr>
              <w:t>Author's Accepted M</w:t>
            </w:r>
            <w:r w:rsidRPr="0034005F">
              <w:rPr>
                <w:color w:val="auto"/>
                <w:sz w:val="18"/>
                <w:szCs w:val="18"/>
                <w:lang w:eastAsia="en-GB"/>
              </w:rPr>
              <w:t>anuscript</w:t>
            </w:r>
            <w:r>
              <w:rPr>
                <w:color w:val="auto"/>
                <w:sz w:val="18"/>
                <w:szCs w:val="18"/>
                <w:lang w:eastAsia="en-GB"/>
              </w:rPr>
              <w:t xml:space="preserve"> (AAM)</w:t>
            </w:r>
            <w:r w:rsidRPr="007B0168">
              <w:rPr>
                <w:color w:val="auto"/>
                <w:sz w:val="18"/>
                <w:szCs w:val="18"/>
                <w:lang w:eastAsia="en-GB"/>
              </w:rPr>
              <w:t>. This should include details of how the AAM may be (re-) used.</w:t>
            </w:r>
          </w:p>
          <w:p w14:paraId="4BE2647D" w14:textId="77777777" w:rsidR="005C5584" w:rsidRDefault="005C5584" w:rsidP="000520AA">
            <w:pPr>
              <w:spacing w:after="120" w:line="240" w:lineRule="auto"/>
              <w:ind w:left="79" w:right="62"/>
              <w:rPr>
                <w:color w:val="auto"/>
                <w:sz w:val="18"/>
                <w:szCs w:val="18"/>
                <w:lang w:eastAsia="en-GB"/>
              </w:rPr>
            </w:pPr>
            <w:r>
              <w:rPr>
                <w:color w:val="auto"/>
                <w:sz w:val="18"/>
                <w:szCs w:val="18"/>
                <w:lang w:eastAsia="en-GB"/>
              </w:rPr>
              <w:t xml:space="preserve">Re-send the author agreement alongside the acceptance letter. </w:t>
            </w:r>
          </w:p>
          <w:p w14:paraId="654E8BBB" w14:textId="51075356" w:rsidR="005C5584" w:rsidRPr="000520AA" w:rsidRDefault="005C5584" w:rsidP="000520AA">
            <w:pPr>
              <w:spacing w:after="120" w:line="240" w:lineRule="auto"/>
              <w:ind w:left="79" w:right="62"/>
              <w:rPr>
                <w:color w:val="auto"/>
                <w:sz w:val="18"/>
                <w:szCs w:val="18"/>
                <w:lang w:eastAsia="en-GB"/>
              </w:rPr>
            </w:pPr>
            <w:r>
              <w:rPr>
                <w:color w:val="auto"/>
                <w:sz w:val="18"/>
                <w:szCs w:val="18"/>
                <w:lang w:eastAsia="en-GB"/>
              </w:rPr>
              <w:t>Do not just send a ‘standard policy’ document.</w:t>
            </w:r>
          </w:p>
          <w:p w14:paraId="5C16B7C2" w14:textId="62EF200E" w:rsidR="005C5584" w:rsidRPr="007B0168" w:rsidRDefault="005C5584" w:rsidP="008A07D3">
            <w:pPr>
              <w:spacing w:after="120" w:line="240" w:lineRule="auto"/>
              <w:ind w:left="142" w:right="62"/>
              <w:rPr>
                <w:color w:val="auto"/>
                <w:sz w:val="18"/>
                <w:szCs w:val="18"/>
                <w:lang w:eastAsia="en-GB"/>
              </w:rPr>
            </w:pPr>
          </w:p>
        </w:tc>
      </w:tr>
      <w:tr w:rsidR="005C5584" w:rsidRPr="00237FD3" w14:paraId="7BF891CB" w14:textId="77777777" w:rsidTr="005C5584">
        <w:trPr>
          <w:cantSplit/>
          <w:trHeight w:val="2454"/>
        </w:trPr>
        <w:tc>
          <w:tcPr>
            <w:tcW w:w="320" w:type="dxa"/>
            <w:hideMark/>
          </w:tcPr>
          <w:p w14:paraId="1D554EC0"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hideMark/>
          </w:tcPr>
          <w:p w14:paraId="6CBAD49E" w14:textId="44EE1351" w:rsidR="005C5584" w:rsidRPr="007B0168" w:rsidRDefault="005C5584" w:rsidP="008A07D3">
            <w:pPr>
              <w:spacing w:after="120" w:line="240" w:lineRule="auto"/>
              <w:ind w:left="79" w:right="62"/>
              <w:rPr>
                <w:color w:val="auto"/>
                <w:sz w:val="18"/>
                <w:szCs w:val="18"/>
                <w:lang w:eastAsia="en-GB"/>
              </w:rPr>
            </w:pPr>
            <w:r>
              <w:rPr>
                <w:color w:val="auto"/>
                <w:sz w:val="18"/>
                <w:szCs w:val="18"/>
                <w:lang w:eastAsia="en-GB"/>
              </w:rPr>
              <w:t>AUTHOR’S ACCEPTED MANUSCRIPT</w:t>
            </w:r>
            <w:r w:rsidRPr="007B0168">
              <w:rPr>
                <w:color w:val="auto"/>
                <w:sz w:val="18"/>
                <w:szCs w:val="18"/>
                <w:lang w:eastAsia="en-GB"/>
              </w:rPr>
              <w:t>:</w:t>
            </w:r>
          </w:p>
          <w:p w14:paraId="567BAC6E" w14:textId="446F3F6C" w:rsidR="005C5584" w:rsidRPr="007B0168" w:rsidRDefault="005C5584" w:rsidP="00C42BFA">
            <w:pPr>
              <w:spacing w:after="120" w:line="240" w:lineRule="auto"/>
              <w:ind w:left="79" w:right="62"/>
              <w:rPr>
                <w:color w:val="auto"/>
                <w:sz w:val="18"/>
                <w:szCs w:val="18"/>
                <w:lang w:eastAsia="en-GB"/>
              </w:rPr>
            </w:pPr>
            <w:r w:rsidRPr="007B0168">
              <w:rPr>
                <w:color w:val="auto"/>
                <w:sz w:val="18"/>
                <w:szCs w:val="18"/>
                <w:lang w:eastAsia="en-GB"/>
              </w:rPr>
              <w:t xml:space="preserve">The Publisher undertakes to supply the </w:t>
            </w:r>
            <w:r>
              <w:rPr>
                <w:color w:val="auto"/>
                <w:sz w:val="18"/>
                <w:szCs w:val="18"/>
                <w:lang w:eastAsia="en-GB"/>
              </w:rPr>
              <w:t>Accepted Manuscript (</w:t>
            </w:r>
            <w:r w:rsidRPr="007B0168">
              <w:rPr>
                <w:color w:val="auto"/>
                <w:sz w:val="18"/>
                <w:szCs w:val="18"/>
                <w:lang w:eastAsia="en-GB"/>
              </w:rPr>
              <w:t>AM</w:t>
            </w:r>
            <w:r>
              <w:rPr>
                <w:color w:val="auto"/>
                <w:sz w:val="18"/>
                <w:szCs w:val="18"/>
                <w:lang w:eastAsia="en-GB"/>
              </w:rPr>
              <w:t>)</w:t>
            </w:r>
            <w:r w:rsidRPr="007B0168">
              <w:rPr>
                <w:color w:val="auto"/>
                <w:sz w:val="18"/>
                <w:szCs w:val="18"/>
                <w:lang w:eastAsia="en-GB"/>
              </w:rPr>
              <w:t xml:space="preserve"> to the author as an attachment to the acceptance email.</w:t>
            </w:r>
          </w:p>
          <w:p w14:paraId="6192DBB0" w14:textId="77777777" w:rsidR="005C5584" w:rsidRPr="007B0168" w:rsidRDefault="005C5584" w:rsidP="00C42BFA">
            <w:pPr>
              <w:spacing w:after="120" w:line="240" w:lineRule="auto"/>
              <w:ind w:left="79" w:right="62"/>
              <w:rPr>
                <w:color w:val="auto"/>
                <w:sz w:val="18"/>
                <w:szCs w:val="18"/>
                <w:lang w:eastAsia="en-GB"/>
              </w:rPr>
            </w:pPr>
            <w:r w:rsidRPr="007B0168">
              <w:rPr>
                <w:color w:val="auto"/>
                <w:sz w:val="18"/>
                <w:szCs w:val="18"/>
                <w:lang w:eastAsia="en-GB"/>
              </w:rPr>
              <w:t xml:space="preserve">This should be in the form that they permit to deposit on an open repository (i.e. already including any disclaimer or other statements that they require under these circumstances). </w:t>
            </w:r>
          </w:p>
          <w:p w14:paraId="5A02E612" w14:textId="77777777" w:rsidR="005C5584" w:rsidRPr="007B0168" w:rsidRDefault="005C5584" w:rsidP="00C42BFA">
            <w:pPr>
              <w:spacing w:after="120" w:line="240" w:lineRule="auto"/>
              <w:ind w:left="79" w:right="62"/>
              <w:rPr>
                <w:color w:val="auto"/>
                <w:sz w:val="18"/>
                <w:szCs w:val="18"/>
                <w:lang w:eastAsia="en-GB"/>
              </w:rPr>
            </w:pPr>
            <w:r w:rsidRPr="007B0168">
              <w:rPr>
                <w:color w:val="auto"/>
                <w:sz w:val="18"/>
                <w:szCs w:val="18"/>
                <w:lang w:eastAsia="en-GB"/>
              </w:rPr>
              <w:t>The letter should be emailed to all authors, not just the corresponding author.</w:t>
            </w:r>
          </w:p>
          <w:p w14:paraId="3C413966" w14:textId="430CF68D" w:rsidR="005C5584" w:rsidRPr="007B0168" w:rsidRDefault="005C5584" w:rsidP="00C42BFA">
            <w:pPr>
              <w:spacing w:after="120" w:line="240" w:lineRule="auto"/>
              <w:ind w:left="79" w:right="62"/>
              <w:rPr>
                <w:color w:val="auto"/>
                <w:sz w:val="18"/>
                <w:szCs w:val="18"/>
                <w:lang w:eastAsia="en-GB"/>
              </w:rPr>
            </w:pPr>
            <w:r w:rsidRPr="007B0168">
              <w:rPr>
                <w:color w:val="auto"/>
                <w:sz w:val="18"/>
                <w:szCs w:val="18"/>
                <w:lang w:eastAsia="en-GB"/>
              </w:rPr>
              <w:t xml:space="preserve">OR:  The letter should ask the corresponding author  to forward it, together with the attached </w:t>
            </w:r>
            <w:r>
              <w:rPr>
                <w:color w:val="auto"/>
                <w:sz w:val="18"/>
                <w:szCs w:val="18"/>
                <w:lang w:eastAsia="en-GB"/>
              </w:rPr>
              <w:t>Author's Accepted M</w:t>
            </w:r>
            <w:r w:rsidRPr="0034005F">
              <w:rPr>
                <w:color w:val="auto"/>
                <w:sz w:val="18"/>
                <w:szCs w:val="18"/>
                <w:lang w:eastAsia="en-GB"/>
              </w:rPr>
              <w:t>anuscript</w:t>
            </w:r>
            <w:r w:rsidRPr="007B0168">
              <w:rPr>
                <w:color w:val="auto"/>
                <w:sz w:val="18"/>
                <w:szCs w:val="18"/>
                <w:lang w:eastAsia="en-GB"/>
              </w:rPr>
              <w:t xml:space="preserve"> </w:t>
            </w:r>
            <w:r>
              <w:rPr>
                <w:color w:val="auto"/>
                <w:sz w:val="18"/>
                <w:szCs w:val="18"/>
                <w:lang w:eastAsia="en-GB"/>
              </w:rPr>
              <w:t>(</w:t>
            </w:r>
            <w:r w:rsidRPr="007B0168">
              <w:rPr>
                <w:color w:val="auto"/>
                <w:sz w:val="18"/>
                <w:szCs w:val="18"/>
                <w:lang w:eastAsia="en-GB"/>
              </w:rPr>
              <w:t>AAM</w:t>
            </w:r>
            <w:r>
              <w:rPr>
                <w:color w:val="auto"/>
                <w:sz w:val="18"/>
                <w:szCs w:val="18"/>
                <w:lang w:eastAsia="en-GB"/>
              </w:rPr>
              <w:t>)</w:t>
            </w:r>
            <w:r w:rsidRPr="007B0168">
              <w:rPr>
                <w:color w:val="auto"/>
                <w:sz w:val="18"/>
                <w:szCs w:val="18"/>
                <w:lang w:eastAsia="en-GB"/>
              </w:rPr>
              <w:t>, to the other authors</w:t>
            </w:r>
          </w:p>
        </w:tc>
        <w:tc>
          <w:tcPr>
            <w:tcW w:w="4110" w:type="dxa"/>
            <w:hideMark/>
          </w:tcPr>
          <w:p w14:paraId="2D43D75F" w14:textId="43FA65D6"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To prompt author to upload to </w:t>
            </w:r>
            <w:r>
              <w:rPr>
                <w:color w:val="auto"/>
                <w:sz w:val="18"/>
                <w:szCs w:val="18"/>
                <w:lang w:eastAsia="en-GB"/>
              </w:rPr>
              <w:t>Institutional R</w:t>
            </w:r>
            <w:r w:rsidRPr="007B0168">
              <w:rPr>
                <w:color w:val="auto"/>
                <w:sz w:val="18"/>
                <w:szCs w:val="18"/>
                <w:lang w:eastAsia="en-GB"/>
              </w:rPr>
              <w:t>epository (IR), or to ask their IR staff to do so.</w:t>
            </w:r>
          </w:p>
          <w:p w14:paraId="1EAA1EC5"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To ensure all co-authors are also prompted and are aware of date of acceptance.</w:t>
            </w:r>
          </w:p>
          <w:p w14:paraId="7F6B3B70"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To save IR staff and publishers time in investigating details of the acceptance date.</w:t>
            </w:r>
          </w:p>
          <w:p w14:paraId="4FD429A7"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To help ensure correct version is deposited – AM as opposed to earlier (or later, if not allowed by the publisher’s terms) author versions. </w:t>
            </w:r>
          </w:p>
        </w:tc>
        <w:tc>
          <w:tcPr>
            <w:tcW w:w="6663" w:type="dxa"/>
            <w:hideMark/>
          </w:tcPr>
          <w:p w14:paraId="194ED026" w14:textId="77777777" w:rsidR="005C5584" w:rsidRPr="007B0168" w:rsidRDefault="005C5584" w:rsidP="008A07D3">
            <w:pPr>
              <w:spacing w:after="120" w:line="240" w:lineRule="auto"/>
              <w:ind w:left="142" w:right="62"/>
              <w:rPr>
                <w:color w:val="auto"/>
                <w:sz w:val="18"/>
                <w:szCs w:val="18"/>
                <w:lang w:eastAsia="en-GB"/>
              </w:rPr>
            </w:pPr>
            <w:r w:rsidRPr="007B0168">
              <w:rPr>
                <w:color w:val="auto"/>
                <w:sz w:val="18"/>
                <w:szCs w:val="18"/>
                <w:lang w:eastAsia="en-GB"/>
              </w:rPr>
              <w:t xml:space="preserve">Contact </w:t>
            </w:r>
            <w:r w:rsidRPr="007B0168">
              <w:rPr>
                <w:b/>
                <w:color w:val="auto"/>
                <w:sz w:val="18"/>
                <w:szCs w:val="18"/>
                <w:lang w:eastAsia="en-GB"/>
              </w:rPr>
              <w:t>Jisc</w:t>
            </w:r>
            <w:r w:rsidRPr="007B0168">
              <w:rPr>
                <w:color w:val="auto"/>
                <w:sz w:val="18"/>
                <w:szCs w:val="18"/>
                <w:lang w:eastAsia="en-GB"/>
              </w:rPr>
              <w:t xml:space="preserve"> if you want help with suggested wording that publishers can insert into the email.</w:t>
            </w:r>
          </w:p>
          <w:p w14:paraId="7F940B88" w14:textId="77777777" w:rsidR="005C5584" w:rsidRPr="007B0168" w:rsidRDefault="005C5584" w:rsidP="008A07D3">
            <w:pPr>
              <w:spacing w:after="120" w:line="240" w:lineRule="auto"/>
              <w:ind w:left="142" w:right="62"/>
              <w:rPr>
                <w:color w:val="auto"/>
                <w:sz w:val="18"/>
                <w:szCs w:val="18"/>
                <w:lang w:eastAsia="en-GB"/>
              </w:rPr>
            </w:pPr>
          </w:p>
        </w:tc>
      </w:tr>
      <w:tr w:rsidR="005C5584" w:rsidRPr="00237FD3" w14:paraId="6B5744A6" w14:textId="77777777" w:rsidTr="005C5584">
        <w:trPr>
          <w:cantSplit/>
          <w:trHeight w:val="1573"/>
        </w:trPr>
        <w:tc>
          <w:tcPr>
            <w:tcW w:w="320" w:type="dxa"/>
            <w:hideMark/>
          </w:tcPr>
          <w:p w14:paraId="09FE1CA0"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r w:rsidRPr="00237FD3">
              <w:rPr>
                <w:rFonts w:eastAsia="Times New Roman" w:cs="Arial"/>
                <w:color w:val="000000"/>
                <w:sz w:val="18"/>
                <w:szCs w:val="18"/>
                <w:lang w:eastAsia="en-GB"/>
              </w:rPr>
              <w:lastRenderedPageBreak/>
              <w:t> </w:t>
            </w:r>
          </w:p>
        </w:tc>
        <w:tc>
          <w:tcPr>
            <w:tcW w:w="4008" w:type="dxa"/>
            <w:hideMark/>
          </w:tcPr>
          <w:p w14:paraId="749CCD9C"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AUTOMATED NOTIFICATION OF ACCEPTANCE</w:t>
            </w:r>
          </w:p>
          <w:p w14:paraId="3E88CF4F" w14:textId="0B5989AB"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The Publisher undertakes to deliver an automated notification at or near acceptance of the paper to a designated</w:t>
            </w:r>
            <w:r>
              <w:rPr>
                <w:color w:val="auto"/>
                <w:sz w:val="18"/>
                <w:szCs w:val="18"/>
                <w:lang w:eastAsia="en-GB"/>
              </w:rPr>
              <w:t xml:space="preserve"> institutional or representative group</w:t>
            </w:r>
            <w:r w:rsidRPr="007B0168">
              <w:rPr>
                <w:color w:val="auto"/>
                <w:sz w:val="18"/>
                <w:szCs w:val="18"/>
                <w:lang w:eastAsia="en-GB"/>
              </w:rPr>
              <w:t xml:space="preserve"> service, followed by updates at later stages of the publishing process.</w:t>
            </w:r>
          </w:p>
          <w:p w14:paraId="2185EA6F"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 </w:t>
            </w:r>
          </w:p>
          <w:p w14:paraId="297F6AE9" w14:textId="77777777" w:rsidR="005C5584" w:rsidRPr="007B0168" w:rsidRDefault="005C5584" w:rsidP="00D864CC">
            <w:pPr>
              <w:spacing w:after="120" w:line="240" w:lineRule="auto"/>
              <w:ind w:left="79" w:right="62"/>
              <w:rPr>
                <w:color w:val="auto"/>
                <w:sz w:val="18"/>
                <w:szCs w:val="18"/>
                <w:lang w:eastAsia="en-GB"/>
              </w:rPr>
            </w:pPr>
          </w:p>
        </w:tc>
        <w:tc>
          <w:tcPr>
            <w:tcW w:w="4110" w:type="dxa"/>
            <w:hideMark/>
          </w:tcPr>
          <w:p w14:paraId="1835242B" w14:textId="5820EA95" w:rsidR="005C5584" w:rsidRPr="007B0168" w:rsidRDefault="005C5584" w:rsidP="00D864CC">
            <w:pPr>
              <w:spacing w:after="120" w:line="240" w:lineRule="auto"/>
              <w:ind w:left="79" w:right="62"/>
              <w:rPr>
                <w:rFonts w:eastAsia="Times New Roman" w:cs="Arial"/>
                <w:color w:val="auto"/>
                <w:sz w:val="18"/>
                <w:szCs w:val="18"/>
                <w:lang w:eastAsia="en-GB"/>
              </w:rPr>
            </w:pPr>
            <w:r w:rsidRPr="007B0168">
              <w:rPr>
                <w:rFonts w:eastAsia="Times New Roman" w:cs="Arial"/>
                <w:color w:val="auto"/>
                <w:sz w:val="18"/>
                <w:szCs w:val="18"/>
                <w:lang w:eastAsia="en-GB"/>
              </w:rPr>
              <w:t>This helps institutions comply with local policies.</w:t>
            </w:r>
            <w:r>
              <w:rPr>
                <w:rFonts w:eastAsia="Times New Roman" w:cs="Arial"/>
                <w:color w:val="auto"/>
                <w:sz w:val="18"/>
                <w:szCs w:val="18"/>
                <w:lang w:eastAsia="en-GB"/>
              </w:rPr>
              <w:t xml:space="preserve"> For example in the UK</w:t>
            </w:r>
            <w:r w:rsidRPr="007B0168">
              <w:rPr>
                <w:rFonts w:eastAsia="Times New Roman" w:cs="Arial"/>
                <w:color w:val="auto"/>
                <w:sz w:val="18"/>
                <w:szCs w:val="18"/>
                <w:lang w:eastAsia="en-GB"/>
              </w:rPr>
              <w:t xml:space="preserve"> </w:t>
            </w:r>
            <w:r>
              <w:rPr>
                <w:rFonts w:eastAsia="Times New Roman" w:cs="Arial"/>
                <w:color w:val="auto"/>
                <w:sz w:val="18"/>
                <w:szCs w:val="18"/>
                <w:lang w:eastAsia="en-GB"/>
              </w:rPr>
              <w:t>t</w:t>
            </w:r>
            <w:r w:rsidRPr="007B0168">
              <w:rPr>
                <w:rFonts w:eastAsia="Times New Roman" w:cs="Arial"/>
                <w:color w:val="auto"/>
                <w:sz w:val="18"/>
                <w:szCs w:val="18"/>
                <w:lang w:eastAsia="en-GB"/>
              </w:rPr>
              <w:t xml:space="preserve">his helps institutions comply with </w:t>
            </w:r>
            <w:r>
              <w:rPr>
                <w:rFonts w:eastAsia="Times New Roman" w:cs="Arial"/>
                <w:color w:val="auto"/>
                <w:sz w:val="18"/>
                <w:szCs w:val="18"/>
                <w:lang w:eastAsia="en-GB"/>
              </w:rPr>
              <w:t xml:space="preserve">the </w:t>
            </w:r>
            <w:r w:rsidRPr="0034005F">
              <w:rPr>
                <w:rFonts w:eastAsia="Times New Roman" w:cs="Arial"/>
                <w:color w:val="auto"/>
                <w:sz w:val="18"/>
                <w:szCs w:val="18"/>
                <w:lang w:eastAsia="en-GB"/>
              </w:rPr>
              <w:t xml:space="preserve">Research Excellence Framework (REF) </w:t>
            </w:r>
            <w:r w:rsidRPr="007B0168">
              <w:rPr>
                <w:rFonts w:eastAsia="Times New Roman" w:cs="Arial"/>
                <w:color w:val="auto"/>
                <w:sz w:val="18"/>
                <w:szCs w:val="18"/>
                <w:lang w:eastAsia="en-GB"/>
              </w:rPr>
              <w:t>OA policy as efficiently as possible.</w:t>
            </w:r>
          </w:p>
          <w:p w14:paraId="49B94FF3" w14:textId="77777777" w:rsidR="005C5584" w:rsidRPr="007B0168" w:rsidRDefault="005C5584" w:rsidP="00D864CC">
            <w:pPr>
              <w:spacing w:after="120" w:line="240" w:lineRule="auto"/>
              <w:ind w:left="79" w:right="62"/>
              <w:rPr>
                <w:rFonts w:eastAsia="Times New Roman" w:cs="Arial"/>
                <w:color w:val="auto"/>
                <w:sz w:val="18"/>
                <w:szCs w:val="18"/>
                <w:lang w:eastAsia="en-GB"/>
              </w:rPr>
            </w:pPr>
          </w:p>
        </w:tc>
        <w:tc>
          <w:tcPr>
            <w:tcW w:w="6663" w:type="dxa"/>
            <w:hideMark/>
          </w:tcPr>
          <w:p w14:paraId="653CFE4F" w14:textId="77777777" w:rsidR="005C5584" w:rsidRPr="007B0168" w:rsidRDefault="005C5584" w:rsidP="008A07D3">
            <w:pPr>
              <w:spacing w:after="120" w:line="240" w:lineRule="auto"/>
              <w:ind w:left="142" w:right="62"/>
              <w:rPr>
                <w:color w:val="auto"/>
                <w:sz w:val="18"/>
                <w:szCs w:val="18"/>
                <w:lang w:eastAsia="en-GB"/>
              </w:rPr>
            </w:pPr>
            <w:r w:rsidRPr="007B0168">
              <w:rPr>
                <w:color w:val="auto"/>
                <w:sz w:val="18"/>
                <w:szCs w:val="18"/>
                <w:lang w:eastAsia="en-GB"/>
              </w:rPr>
              <w:t xml:space="preserve">The record should include a copy of the paper suitable for deposit into a repository, along with such metadata as can be provided at that point including all authors’ institutional affiliations. </w:t>
            </w:r>
          </w:p>
          <w:p w14:paraId="6FF4FF27" w14:textId="77777777" w:rsidR="005C5584" w:rsidRPr="007B0168" w:rsidRDefault="005C5584" w:rsidP="008A07D3">
            <w:pPr>
              <w:spacing w:after="120" w:line="240" w:lineRule="auto"/>
              <w:ind w:left="142" w:right="62"/>
              <w:rPr>
                <w:color w:val="auto"/>
                <w:sz w:val="18"/>
                <w:szCs w:val="18"/>
                <w:lang w:eastAsia="en-GB"/>
              </w:rPr>
            </w:pPr>
            <w:r w:rsidRPr="007B0168">
              <w:rPr>
                <w:color w:val="auto"/>
                <w:sz w:val="18"/>
                <w:szCs w:val="18"/>
                <w:lang w:eastAsia="en-GB"/>
              </w:rPr>
              <w:t xml:space="preserve"> At the minimum, a metadata-only record should be provided. </w:t>
            </w:r>
          </w:p>
          <w:p w14:paraId="24ED6EEF" w14:textId="77777777" w:rsidR="005C5584" w:rsidRPr="007B0168" w:rsidRDefault="005C5584" w:rsidP="00027246">
            <w:pPr>
              <w:spacing w:after="120" w:line="240" w:lineRule="auto"/>
              <w:ind w:left="142" w:right="62"/>
              <w:rPr>
                <w:color w:val="auto"/>
                <w:sz w:val="18"/>
                <w:szCs w:val="18"/>
                <w:lang w:eastAsia="en-GB"/>
              </w:rPr>
            </w:pPr>
            <w:r w:rsidRPr="007B0168">
              <w:rPr>
                <w:color w:val="auto"/>
                <w:sz w:val="18"/>
                <w:szCs w:val="18"/>
                <w:lang w:eastAsia="en-GB"/>
              </w:rPr>
              <w:t>(An example of the kind of designated service referred to here is Jisc Publications Router in the UK.)  For more information contact Jisc.</w:t>
            </w:r>
          </w:p>
        </w:tc>
      </w:tr>
      <w:tr w:rsidR="005C5584" w:rsidRPr="00237FD3" w14:paraId="2F928145" w14:textId="77777777" w:rsidTr="005C5584">
        <w:trPr>
          <w:cantSplit/>
          <w:trHeight w:val="2479"/>
        </w:trPr>
        <w:tc>
          <w:tcPr>
            <w:tcW w:w="320" w:type="dxa"/>
          </w:tcPr>
          <w:p w14:paraId="0DF187C6"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05F266F6"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KEY DATES IN METADATA:</w:t>
            </w:r>
          </w:p>
          <w:p w14:paraId="3F64AF67"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The publisher should </w:t>
            </w:r>
            <w:r w:rsidRPr="007B0168">
              <w:rPr>
                <w:b/>
                <w:color w:val="auto"/>
                <w:sz w:val="18"/>
                <w:szCs w:val="18"/>
                <w:lang w:eastAsia="en-GB"/>
              </w:rPr>
              <w:t>pass on key dates</w:t>
            </w:r>
            <w:r w:rsidRPr="007B0168">
              <w:rPr>
                <w:color w:val="auto"/>
                <w:sz w:val="18"/>
                <w:szCs w:val="18"/>
                <w:lang w:eastAsia="en-GB"/>
              </w:rPr>
              <w:t xml:space="preserve"> in metadata, as well as on the human-readable article-level pages.</w:t>
            </w:r>
          </w:p>
          <w:p w14:paraId="530C264E" w14:textId="583DBF97" w:rsidR="005C5584" w:rsidRPr="007B0168" w:rsidRDefault="005C5584" w:rsidP="008E583D">
            <w:pPr>
              <w:pStyle w:val="ListParagraph"/>
              <w:numPr>
                <w:ilvl w:val="0"/>
                <w:numId w:val="25"/>
              </w:numPr>
              <w:suppressAutoHyphens w:val="0"/>
              <w:autoSpaceDN/>
              <w:spacing w:after="120" w:line="240" w:lineRule="auto"/>
              <w:ind w:left="504" w:right="62" w:hanging="357"/>
              <w:textAlignment w:val="auto"/>
              <w:rPr>
                <w:color w:val="auto"/>
                <w:sz w:val="18"/>
                <w:szCs w:val="18"/>
                <w:lang w:eastAsia="en-GB"/>
              </w:rPr>
            </w:pPr>
            <w:r w:rsidRPr="007B0168">
              <w:rPr>
                <w:color w:val="auto"/>
                <w:sz w:val="18"/>
                <w:szCs w:val="18"/>
                <w:lang w:eastAsia="en-GB"/>
              </w:rPr>
              <w:t xml:space="preserve">Date of final </w:t>
            </w:r>
            <w:r w:rsidRPr="007B0168">
              <w:rPr>
                <w:b/>
                <w:color w:val="auto"/>
                <w:sz w:val="18"/>
                <w:szCs w:val="18"/>
                <w:lang w:eastAsia="en-GB"/>
              </w:rPr>
              <w:t>acceptance</w:t>
            </w:r>
            <w:r w:rsidRPr="007B0168">
              <w:rPr>
                <w:color w:val="auto"/>
                <w:sz w:val="18"/>
                <w:szCs w:val="18"/>
                <w:lang w:eastAsia="en-GB"/>
              </w:rPr>
              <w:t xml:space="preserve"> </w:t>
            </w:r>
          </w:p>
          <w:p w14:paraId="142652A2" w14:textId="77777777" w:rsidR="005C5584" w:rsidRPr="007B0168" w:rsidRDefault="005C5584" w:rsidP="004812D8">
            <w:pPr>
              <w:pStyle w:val="ListParagraph"/>
              <w:numPr>
                <w:ilvl w:val="0"/>
                <w:numId w:val="25"/>
              </w:numPr>
              <w:suppressAutoHyphens w:val="0"/>
              <w:autoSpaceDN/>
              <w:spacing w:after="120" w:line="240" w:lineRule="auto"/>
              <w:ind w:left="504" w:right="62" w:hanging="357"/>
              <w:contextualSpacing/>
              <w:textAlignment w:val="auto"/>
              <w:rPr>
                <w:color w:val="auto"/>
                <w:sz w:val="18"/>
                <w:szCs w:val="18"/>
                <w:lang w:eastAsia="en-GB"/>
              </w:rPr>
            </w:pPr>
            <w:r w:rsidRPr="007B0168">
              <w:rPr>
                <w:color w:val="auto"/>
                <w:sz w:val="18"/>
                <w:szCs w:val="18"/>
                <w:lang w:eastAsia="en-GB"/>
              </w:rPr>
              <w:t xml:space="preserve">Date of </w:t>
            </w:r>
            <w:r w:rsidRPr="007B0168">
              <w:rPr>
                <w:b/>
                <w:color w:val="auto"/>
                <w:sz w:val="18"/>
                <w:szCs w:val="18"/>
                <w:lang w:eastAsia="en-GB"/>
              </w:rPr>
              <w:t>publication</w:t>
            </w:r>
          </w:p>
          <w:p w14:paraId="1D3CD198" w14:textId="77777777" w:rsidR="005C5584" w:rsidRDefault="005C5584" w:rsidP="004812D8">
            <w:pPr>
              <w:pStyle w:val="CommentText"/>
              <w:numPr>
                <w:ilvl w:val="0"/>
                <w:numId w:val="25"/>
              </w:numPr>
              <w:spacing w:after="120"/>
              <w:ind w:left="504" w:hanging="357"/>
              <w:rPr>
                <w:color w:val="auto"/>
                <w:sz w:val="18"/>
                <w:szCs w:val="18"/>
                <w:lang w:eastAsia="en-GB"/>
              </w:rPr>
            </w:pPr>
            <w:r w:rsidRPr="007B0168">
              <w:rPr>
                <w:b/>
                <w:color w:val="auto"/>
                <w:sz w:val="18"/>
                <w:szCs w:val="18"/>
                <w:lang w:eastAsia="en-GB"/>
              </w:rPr>
              <w:t>Start</w:t>
            </w:r>
            <w:r w:rsidRPr="007B0168">
              <w:rPr>
                <w:color w:val="auto"/>
                <w:sz w:val="18"/>
                <w:szCs w:val="18"/>
                <w:lang w:eastAsia="en-GB"/>
              </w:rPr>
              <w:t xml:space="preserve"> and </w:t>
            </w:r>
            <w:r w:rsidRPr="007B0168">
              <w:rPr>
                <w:b/>
                <w:color w:val="auto"/>
                <w:sz w:val="18"/>
                <w:szCs w:val="18"/>
                <w:lang w:eastAsia="en-GB"/>
              </w:rPr>
              <w:t>end</w:t>
            </w:r>
            <w:r w:rsidRPr="007B0168">
              <w:rPr>
                <w:color w:val="auto"/>
                <w:sz w:val="18"/>
                <w:szCs w:val="18"/>
                <w:lang w:eastAsia="en-GB"/>
              </w:rPr>
              <w:t xml:space="preserve"> dates of any </w:t>
            </w:r>
            <w:r w:rsidRPr="007B0168">
              <w:rPr>
                <w:b/>
                <w:color w:val="auto"/>
                <w:sz w:val="18"/>
                <w:szCs w:val="18"/>
                <w:lang w:eastAsia="en-GB"/>
              </w:rPr>
              <w:t>embargo</w:t>
            </w:r>
            <w:r w:rsidRPr="007B0168">
              <w:rPr>
                <w:color w:val="auto"/>
                <w:sz w:val="18"/>
                <w:szCs w:val="18"/>
                <w:lang w:eastAsia="en-GB"/>
              </w:rPr>
              <w:t xml:space="preserve"> period.</w:t>
            </w:r>
          </w:p>
          <w:p w14:paraId="4141654C" w14:textId="77777777" w:rsidR="005C5584" w:rsidRPr="007B0168" w:rsidRDefault="005C5584" w:rsidP="00D864CC">
            <w:pPr>
              <w:pStyle w:val="CommentText"/>
              <w:spacing w:after="0"/>
              <w:rPr>
                <w:color w:val="auto"/>
                <w:sz w:val="18"/>
                <w:szCs w:val="18"/>
                <w:lang w:eastAsia="en-GB"/>
              </w:rPr>
            </w:pPr>
          </w:p>
        </w:tc>
        <w:tc>
          <w:tcPr>
            <w:tcW w:w="4110" w:type="dxa"/>
          </w:tcPr>
          <w:p w14:paraId="04D7ED7A"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To help ensure any embargo period is correctly implemented. </w:t>
            </w:r>
          </w:p>
          <w:p w14:paraId="6ABE2521" w14:textId="19ECCF9E" w:rsidR="005C5584" w:rsidRPr="007B0168" w:rsidRDefault="005C5584" w:rsidP="00D864CC">
            <w:pPr>
              <w:tabs>
                <w:tab w:val="left" w:pos="1945"/>
              </w:tabs>
              <w:spacing w:after="120" w:line="240" w:lineRule="auto"/>
              <w:ind w:left="79" w:right="62"/>
              <w:rPr>
                <w:color w:val="auto"/>
                <w:sz w:val="18"/>
                <w:szCs w:val="18"/>
                <w:lang w:eastAsia="en-GB"/>
              </w:rPr>
            </w:pPr>
            <w:r>
              <w:rPr>
                <w:color w:val="auto"/>
                <w:sz w:val="18"/>
                <w:szCs w:val="18"/>
                <w:lang w:eastAsia="en-GB"/>
              </w:rPr>
              <w:t>These are key dates required for repository deposit.</w:t>
            </w:r>
          </w:p>
        </w:tc>
        <w:tc>
          <w:tcPr>
            <w:tcW w:w="6663" w:type="dxa"/>
          </w:tcPr>
          <w:p w14:paraId="1BA34B97" w14:textId="77777777"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Publishers will need to investigate how best to pass this information between their various back-office systems so that it can be exposed publicly. </w:t>
            </w:r>
          </w:p>
          <w:p w14:paraId="6297A935" w14:textId="7C2F6734"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For embargo end date, the existing NISO </w:t>
            </w:r>
            <w:r w:rsidRPr="00DA7F7B">
              <w:rPr>
                <w:color w:val="auto"/>
                <w:sz w:val="18"/>
                <w:szCs w:val="18"/>
                <w:lang w:eastAsia="en-GB"/>
              </w:rPr>
              <w:t xml:space="preserve">Access and License Indicators </w:t>
            </w:r>
            <w:r>
              <w:rPr>
                <w:color w:val="auto"/>
                <w:sz w:val="18"/>
                <w:szCs w:val="18"/>
                <w:lang w:eastAsia="en-GB"/>
              </w:rPr>
              <w:t>(</w:t>
            </w:r>
            <w:r w:rsidRPr="007B0168">
              <w:rPr>
                <w:color w:val="auto"/>
                <w:sz w:val="18"/>
                <w:szCs w:val="18"/>
                <w:lang w:eastAsia="en-GB"/>
              </w:rPr>
              <w:t>ALI</w:t>
            </w:r>
            <w:r>
              <w:rPr>
                <w:color w:val="auto"/>
                <w:sz w:val="18"/>
                <w:szCs w:val="18"/>
                <w:lang w:eastAsia="en-GB"/>
              </w:rPr>
              <w:t>)</w:t>
            </w:r>
            <w:r w:rsidRPr="007B0168">
              <w:rPr>
                <w:color w:val="auto"/>
                <w:sz w:val="18"/>
                <w:szCs w:val="18"/>
                <w:lang w:eastAsia="en-GB"/>
              </w:rPr>
              <w:t xml:space="preserve"> standard can be used if it a clearly open/ free licence (such as CC-BY or CC-BY-NC-ND) is specified for the post-embargo period – its start date can then be used as the day after the embargo end.</w:t>
            </w:r>
          </w:p>
          <w:p w14:paraId="6F434FC9" w14:textId="77777777" w:rsidR="005C5584" w:rsidRPr="007B0168" w:rsidRDefault="005C5584" w:rsidP="00027246">
            <w:pPr>
              <w:spacing w:after="120" w:line="240" w:lineRule="auto"/>
              <w:ind w:left="79" w:right="62"/>
              <w:rPr>
                <w:color w:val="auto"/>
                <w:sz w:val="18"/>
                <w:szCs w:val="18"/>
                <w:lang w:eastAsia="en-GB"/>
              </w:rPr>
            </w:pPr>
            <w:r w:rsidRPr="007B0168">
              <w:rPr>
                <w:color w:val="auto"/>
                <w:sz w:val="18"/>
                <w:szCs w:val="18"/>
                <w:lang w:eastAsia="en-GB"/>
              </w:rPr>
              <w:t xml:space="preserve">An alternative mechanism might be to pass on the embargo length (provided it is accompanied by an unambiguous start date) if that is easier than specifying the end date – and provided agreement can be reached on metadata standards for that. </w:t>
            </w:r>
          </w:p>
        </w:tc>
      </w:tr>
      <w:tr w:rsidR="005C5584" w:rsidRPr="00237FD3" w14:paraId="318DE656" w14:textId="77777777" w:rsidTr="005C5584">
        <w:trPr>
          <w:trHeight w:val="2591"/>
        </w:trPr>
        <w:tc>
          <w:tcPr>
            <w:tcW w:w="320" w:type="dxa"/>
          </w:tcPr>
          <w:p w14:paraId="2275F8DA" w14:textId="77777777" w:rsidR="005C5584" w:rsidRPr="00237FD3" w:rsidRDefault="005C5584" w:rsidP="00D864CC">
            <w:pPr>
              <w:pStyle w:val="ListParagraph"/>
              <w:numPr>
                <w:ilvl w:val="0"/>
                <w:numId w:val="22"/>
              </w:numPr>
              <w:suppressAutoHyphens w:val="0"/>
              <w:autoSpaceDN/>
              <w:spacing w:after="0" w:line="240" w:lineRule="auto"/>
              <w:ind w:left="181" w:hanging="181"/>
              <w:contextualSpacing/>
              <w:textAlignment w:val="auto"/>
              <w:rPr>
                <w:rFonts w:eastAsia="Times New Roman" w:cs="Arial"/>
                <w:color w:val="000000"/>
                <w:sz w:val="18"/>
                <w:szCs w:val="18"/>
                <w:lang w:eastAsia="en-GB"/>
              </w:rPr>
            </w:pPr>
          </w:p>
        </w:tc>
        <w:tc>
          <w:tcPr>
            <w:tcW w:w="4008" w:type="dxa"/>
          </w:tcPr>
          <w:p w14:paraId="22D8934C" w14:textId="77777777" w:rsidR="005C5584" w:rsidRPr="007B0168" w:rsidRDefault="005C5584" w:rsidP="00D864CC">
            <w:pPr>
              <w:spacing w:after="120" w:line="240" w:lineRule="auto"/>
              <w:ind w:left="79" w:right="62"/>
              <w:rPr>
                <w:rFonts w:eastAsia="Times New Roman"/>
                <w:color w:val="auto"/>
                <w:sz w:val="18"/>
                <w:szCs w:val="18"/>
              </w:rPr>
            </w:pPr>
            <w:r w:rsidRPr="007B0168">
              <w:rPr>
                <w:rFonts w:eastAsia="Times New Roman"/>
                <w:color w:val="auto"/>
                <w:sz w:val="18"/>
                <w:szCs w:val="18"/>
              </w:rPr>
              <w:t>DATA MINING/ TEXT MINING:</w:t>
            </w:r>
          </w:p>
          <w:p w14:paraId="699784C0" w14:textId="77777777" w:rsidR="005C5584" w:rsidRPr="007B0168" w:rsidRDefault="005C5584" w:rsidP="00B71604">
            <w:pPr>
              <w:spacing w:after="120" w:line="240" w:lineRule="auto"/>
              <w:ind w:left="79" w:right="62"/>
              <w:rPr>
                <w:color w:val="auto"/>
                <w:sz w:val="18"/>
                <w:szCs w:val="18"/>
                <w:lang w:eastAsia="en-GB"/>
              </w:rPr>
            </w:pPr>
            <w:r w:rsidRPr="007B0168">
              <w:rPr>
                <w:rFonts w:eastAsia="Times New Roman"/>
                <w:color w:val="auto"/>
                <w:sz w:val="18"/>
                <w:szCs w:val="18"/>
              </w:rPr>
              <w:t>The publisher should</w:t>
            </w:r>
            <w:r>
              <w:rPr>
                <w:rFonts w:eastAsia="Times New Roman"/>
                <w:color w:val="auto"/>
                <w:sz w:val="18"/>
                <w:szCs w:val="18"/>
              </w:rPr>
              <w:t xml:space="preserve"> make it clear that they </w:t>
            </w:r>
            <w:r w:rsidRPr="007B0168">
              <w:rPr>
                <w:rFonts w:eastAsia="Times New Roman"/>
                <w:color w:val="auto"/>
                <w:sz w:val="18"/>
                <w:szCs w:val="18"/>
              </w:rPr>
              <w:t>allow unrestricted machine access such as text/data mining to their OA content in hybrid journals.</w:t>
            </w:r>
            <w:r w:rsidRPr="007B0168">
              <w:rPr>
                <w:color w:val="auto"/>
                <w:sz w:val="18"/>
                <w:szCs w:val="18"/>
                <w:lang w:eastAsia="en-GB"/>
              </w:rPr>
              <w:t xml:space="preserve"> </w:t>
            </w:r>
          </w:p>
          <w:p w14:paraId="74CCB827" w14:textId="7FFD4463" w:rsidR="005C5584" w:rsidRPr="007B0168" w:rsidRDefault="005C5584" w:rsidP="00B71604">
            <w:pPr>
              <w:spacing w:after="120" w:line="240" w:lineRule="auto"/>
              <w:ind w:left="79" w:right="62"/>
              <w:rPr>
                <w:color w:val="auto"/>
                <w:sz w:val="18"/>
                <w:szCs w:val="18"/>
                <w:lang w:eastAsia="en-GB"/>
              </w:rPr>
            </w:pPr>
            <w:r w:rsidRPr="007B0168">
              <w:rPr>
                <w:color w:val="auto"/>
                <w:sz w:val="18"/>
                <w:szCs w:val="18"/>
                <w:lang w:eastAsia="en-GB"/>
              </w:rPr>
              <w:t>Non-OA content is mineable for non-commercial use</w:t>
            </w:r>
            <w:r>
              <w:rPr>
                <w:color w:val="auto"/>
                <w:sz w:val="18"/>
                <w:szCs w:val="18"/>
                <w:lang w:eastAsia="en-GB"/>
              </w:rPr>
              <w:t>.</w:t>
            </w:r>
          </w:p>
          <w:p w14:paraId="6CC19A6A" w14:textId="77777777" w:rsidR="005C5584" w:rsidRPr="007B0168" w:rsidRDefault="005C5584" w:rsidP="00B71604">
            <w:pPr>
              <w:spacing w:after="120" w:line="240" w:lineRule="auto"/>
              <w:ind w:left="79" w:right="62"/>
              <w:rPr>
                <w:color w:val="auto"/>
                <w:sz w:val="18"/>
                <w:szCs w:val="18"/>
                <w:lang w:eastAsia="en-GB"/>
              </w:rPr>
            </w:pPr>
            <w:r w:rsidRPr="007B0168">
              <w:rPr>
                <w:color w:val="auto"/>
                <w:sz w:val="18"/>
                <w:szCs w:val="18"/>
                <w:lang w:eastAsia="en-GB"/>
              </w:rPr>
              <w:t>OA content is minable for commercial use as well.</w:t>
            </w:r>
          </w:p>
          <w:p w14:paraId="5A4DC43A" w14:textId="522CD093" w:rsidR="005C5584" w:rsidRPr="00D525EA" w:rsidRDefault="005C5584" w:rsidP="00D864CC">
            <w:pPr>
              <w:spacing w:after="120" w:line="240" w:lineRule="auto"/>
              <w:ind w:left="79" w:right="62"/>
              <w:rPr>
                <w:rFonts w:eastAsia="Times New Roman"/>
                <w:color w:val="820036" w:themeColor="accent1"/>
                <w:sz w:val="18"/>
                <w:szCs w:val="18"/>
              </w:rPr>
            </w:pPr>
            <w:r w:rsidRPr="00D525EA">
              <w:rPr>
                <w:rFonts w:eastAsia="Times New Roman"/>
                <w:color w:val="820036" w:themeColor="accent1"/>
                <w:sz w:val="18"/>
                <w:szCs w:val="18"/>
              </w:rPr>
              <w:t>If re-use of results is not allowed it should be explicitly stated.</w:t>
            </w:r>
          </w:p>
          <w:p w14:paraId="746DB850" w14:textId="77777777" w:rsidR="005C5584" w:rsidRPr="007B0168" w:rsidRDefault="005C5584" w:rsidP="005F6244">
            <w:pPr>
              <w:spacing w:after="120" w:line="240" w:lineRule="auto"/>
              <w:ind w:right="62"/>
              <w:rPr>
                <w:color w:val="auto"/>
                <w:sz w:val="18"/>
                <w:szCs w:val="18"/>
                <w:lang w:eastAsia="en-GB"/>
              </w:rPr>
            </w:pPr>
          </w:p>
        </w:tc>
        <w:tc>
          <w:tcPr>
            <w:tcW w:w="4110" w:type="dxa"/>
          </w:tcPr>
          <w:p w14:paraId="3044CDB3" w14:textId="18B0643C" w:rsidR="005C5584" w:rsidRPr="007B0168" w:rsidRDefault="005C5584" w:rsidP="00D864CC">
            <w:pPr>
              <w:spacing w:after="120" w:line="240" w:lineRule="auto"/>
              <w:ind w:left="79" w:right="62"/>
              <w:rPr>
                <w:color w:val="auto"/>
                <w:sz w:val="18"/>
                <w:szCs w:val="18"/>
                <w:lang w:eastAsia="en-GB"/>
              </w:rPr>
            </w:pPr>
            <w:r w:rsidRPr="007B0168">
              <w:rPr>
                <w:color w:val="auto"/>
                <w:sz w:val="18"/>
                <w:szCs w:val="18"/>
                <w:lang w:eastAsia="en-GB"/>
              </w:rPr>
              <w:t xml:space="preserve">To allow researchers to make maximum use (e.g. </w:t>
            </w:r>
            <w:r w:rsidRPr="0024070C">
              <w:rPr>
                <w:color w:val="auto"/>
                <w:sz w:val="18"/>
                <w:szCs w:val="18"/>
                <w:lang w:eastAsia="en-GB"/>
              </w:rPr>
              <w:t>Text and data mining</w:t>
            </w:r>
            <w:r>
              <w:rPr>
                <w:color w:val="auto"/>
                <w:sz w:val="18"/>
                <w:szCs w:val="18"/>
                <w:lang w:eastAsia="en-GB"/>
              </w:rPr>
              <w:t xml:space="preserve">, </w:t>
            </w:r>
            <w:r w:rsidRPr="007B0168">
              <w:rPr>
                <w:color w:val="auto"/>
                <w:sz w:val="18"/>
                <w:szCs w:val="18"/>
                <w:lang w:eastAsia="en-GB"/>
              </w:rPr>
              <w:t xml:space="preserve">TDM) of this content. </w:t>
            </w:r>
          </w:p>
          <w:p w14:paraId="5A941096" w14:textId="77777777" w:rsidR="005C5584" w:rsidRPr="007B0168" w:rsidRDefault="005C5584" w:rsidP="00B71604">
            <w:pPr>
              <w:spacing w:after="120" w:line="240" w:lineRule="auto"/>
              <w:ind w:left="79" w:right="62"/>
              <w:rPr>
                <w:color w:val="auto"/>
                <w:sz w:val="18"/>
                <w:szCs w:val="18"/>
                <w:lang w:eastAsia="en-GB"/>
              </w:rPr>
            </w:pPr>
            <w:r w:rsidRPr="007B0168">
              <w:rPr>
                <w:color w:val="auto"/>
                <w:sz w:val="18"/>
                <w:szCs w:val="18"/>
                <w:lang w:eastAsia="en-GB"/>
              </w:rPr>
              <w:t xml:space="preserve">Researchers, need to be able to harvest the whole of the OA </w:t>
            </w:r>
            <w:r>
              <w:rPr>
                <w:color w:val="auto"/>
                <w:sz w:val="18"/>
                <w:szCs w:val="18"/>
                <w:lang w:eastAsia="en-GB"/>
              </w:rPr>
              <w:t xml:space="preserve">(and non-OA) </w:t>
            </w:r>
            <w:r w:rsidRPr="007B0168">
              <w:rPr>
                <w:color w:val="auto"/>
                <w:sz w:val="18"/>
                <w:szCs w:val="18"/>
                <w:lang w:eastAsia="en-GB"/>
              </w:rPr>
              <w:t>content in order to do meaningful TDM.</w:t>
            </w:r>
          </w:p>
          <w:p w14:paraId="7D4D2C0C" w14:textId="77777777" w:rsidR="005C5584" w:rsidRPr="007B0168" w:rsidRDefault="005C5584" w:rsidP="00B71604">
            <w:pPr>
              <w:spacing w:after="120" w:line="240" w:lineRule="auto"/>
              <w:ind w:left="79" w:right="62"/>
              <w:rPr>
                <w:color w:val="auto"/>
                <w:sz w:val="18"/>
                <w:szCs w:val="18"/>
                <w:lang w:eastAsia="en-GB"/>
              </w:rPr>
            </w:pPr>
            <w:r w:rsidRPr="007B0168">
              <w:rPr>
                <w:color w:val="auto"/>
                <w:sz w:val="18"/>
                <w:szCs w:val="18"/>
                <w:lang w:eastAsia="en-GB"/>
              </w:rPr>
              <w:t>In the UK text/data mining is a copyright exception</w:t>
            </w:r>
          </w:p>
        </w:tc>
        <w:tc>
          <w:tcPr>
            <w:tcW w:w="6663" w:type="dxa"/>
          </w:tcPr>
          <w:p w14:paraId="4DF86F6D" w14:textId="382AAE8D" w:rsidR="005C5584" w:rsidRPr="001A7A7E" w:rsidRDefault="005C5584" w:rsidP="001A7A7E">
            <w:pPr>
              <w:pStyle w:val="ListParagraph"/>
              <w:numPr>
                <w:ilvl w:val="0"/>
                <w:numId w:val="34"/>
              </w:numPr>
              <w:spacing w:after="120" w:line="240" w:lineRule="auto"/>
              <w:ind w:right="62"/>
              <w:rPr>
                <w:color w:val="auto"/>
                <w:sz w:val="18"/>
                <w:szCs w:val="18"/>
                <w:lang w:eastAsia="en-GB"/>
              </w:rPr>
            </w:pPr>
            <w:r w:rsidRPr="001A7A7E">
              <w:rPr>
                <w:color w:val="auto"/>
                <w:sz w:val="18"/>
                <w:szCs w:val="18"/>
                <w:lang w:eastAsia="en-GB"/>
              </w:rPr>
              <w:t>Create a non-restrictive Application Programming Interface (API) for non-commercial purposes</w:t>
            </w:r>
          </w:p>
          <w:p w14:paraId="36D449B3" w14:textId="3D218DA5" w:rsidR="005C5584" w:rsidRPr="001A7A7E" w:rsidRDefault="005C5584" w:rsidP="00027246">
            <w:pPr>
              <w:pStyle w:val="ListParagraph"/>
              <w:numPr>
                <w:ilvl w:val="0"/>
                <w:numId w:val="30"/>
              </w:numPr>
              <w:suppressAutoHyphens w:val="0"/>
              <w:autoSpaceDN/>
              <w:spacing w:after="0" w:line="240" w:lineRule="auto"/>
              <w:ind w:left="436" w:right="62" w:hanging="357"/>
              <w:textAlignment w:val="auto"/>
              <w:rPr>
                <w:color w:val="auto"/>
                <w:sz w:val="18"/>
                <w:szCs w:val="18"/>
                <w:lang w:eastAsia="en-GB"/>
              </w:rPr>
            </w:pPr>
            <w:r>
              <w:rPr>
                <w:bCs/>
                <w:color w:val="auto"/>
                <w:sz w:val="18"/>
                <w:szCs w:val="18"/>
                <w:lang w:eastAsia="en-GB"/>
              </w:rPr>
              <w:t>Make it clear what the publisher considers an acceptable download rate.</w:t>
            </w:r>
          </w:p>
          <w:p w14:paraId="4ED77E04" w14:textId="7528BC7F" w:rsidR="005C5584" w:rsidRPr="007B0168" w:rsidRDefault="005C5584" w:rsidP="00027246">
            <w:pPr>
              <w:pStyle w:val="ListParagraph"/>
              <w:numPr>
                <w:ilvl w:val="0"/>
                <w:numId w:val="30"/>
              </w:numPr>
              <w:suppressAutoHyphens w:val="0"/>
              <w:autoSpaceDN/>
              <w:spacing w:after="0" w:line="240" w:lineRule="auto"/>
              <w:ind w:left="436" w:right="62" w:hanging="357"/>
              <w:textAlignment w:val="auto"/>
              <w:rPr>
                <w:color w:val="auto"/>
                <w:sz w:val="18"/>
                <w:szCs w:val="18"/>
                <w:lang w:eastAsia="en-GB"/>
              </w:rPr>
            </w:pPr>
            <w:r w:rsidRPr="007B0168">
              <w:rPr>
                <w:bCs/>
                <w:color w:val="auto"/>
                <w:sz w:val="18"/>
                <w:szCs w:val="18"/>
                <w:lang w:eastAsia="en-GB"/>
              </w:rPr>
              <w:t>Lift restrictions on machine access to OA content</w:t>
            </w:r>
            <w:r w:rsidRPr="007B0168">
              <w:rPr>
                <w:color w:val="auto"/>
                <w:sz w:val="18"/>
                <w:szCs w:val="18"/>
                <w:lang w:eastAsia="en-GB"/>
              </w:rPr>
              <w:t xml:space="preserve"> – ensuring that the licensing terms and the site functionality allow this.</w:t>
            </w:r>
          </w:p>
          <w:p w14:paraId="3C0A3BFD" w14:textId="77777777" w:rsidR="005C5584" w:rsidRPr="007B0168" w:rsidRDefault="005C5584" w:rsidP="00027246">
            <w:pPr>
              <w:pStyle w:val="ListParagraph"/>
              <w:numPr>
                <w:ilvl w:val="0"/>
                <w:numId w:val="30"/>
              </w:numPr>
              <w:suppressAutoHyphens w:val="0"/>
              <w:autoSpaceDN/>
              <w:spacing w:after="0" w:line="240" w:lineRule="auto"/>
              <w:ind w:left="436" w:right="62" w:hanging="357"/>
              <w:textAlignment w:val="auto"/>
              <w:rPr>
                <w:color w:val="auto"/>
                <w:sz w:val="18"/>
                <w:szCs w:val="18"/>
                <w:lang w:eastAsia="en-GB"/>
              </w:rPr>
            </w:pPr>
            <w:r w:rsidRPr="007B0168">
              <w:rPr>
                <w:bCs/>
                <w:color w:val="auto"/>
                <w:sz w:val="18"/>
                <w:szCs w:val="18"/>
                <w:lang w:eastAsia="en-GB"/>
              </w:rPr>
              <w:t>Ensure that there is an API that enables identification of OA content</w:t>
            </w:r>
            <w:r w:rsidRPr="007B0168">
              <w:rPr>
                <w:color w:val="auto"/>
                <w:sz w:val="18"/>
                <w:szCs w:val="18"/>
                <w:lang w:eastAsia="en-GB"/>
              </w:rPr>
              <w:t xml:space="preserve"> – and provides access &amp; programmable interrogation of that content.</w:t>
            </w:r>
          </w:p>
          <w:p w14:paraId="0F3A827A" w14:textId="77777777" w:rsidR="005C5584" w:rsidRDefault="005C5584" w:rsidP="00027246">
            <w:pPr>
              <w:pStyle w:val="ListParagraph"/>
              <w:numPr>
                <w:ilvl w:val="0"/>
                <w:numId w:val="30"/>
              </w:numPr>
              <w:spacing w:after="0" w:line="240" w:lineRule="auto"/>
              <w:ind w:left="436" w:right="62" w:hanging="357"/>
              <w:rPr>
                <w:color w:val="auto"/>
                <w:sz w:val="18"/>
                <w:szCs w:val="18"/>
                <w:lang w:eastAsia="en-GB"/>
              </w:rPr>
            </w:pPr>
            <w:r w:rsidRPr="007B0168">
              <w:rPr>
                <w:bCs/>
                <w:color w:val="auto"/>
                <w:sz w:val="18"/>
                <w:szCs w:val="18"/>
                <w:lang w:eastAsia="en-GB"/>
              </w:rPr>
              <w:t>Revise and make public clear licensing terms that</w:t>
            </w:r>
            <w:r w:rsidRPr="007B0168">
              <w:rPr>
                <w:b/>
                <w:bCs/>
                <w:color w:val="auto"/>
                <w:sz w:val="18"/>
                <w:szCs w:val="18"/>
                <w:lang w:eastAsia="en-GB"/>
              </w:rPr>
              <w:t xml:space="preserve"> </w:t>
            </w:r>
            <w:r w:rsidRPr="007B0168">
              <w:rPr>
                <w:bCs/>
                <w:color w:val="auto"/>
                <w:sz w:val="18"/>
                <w:szCs w:val="18"/>
                <w:lang w:eastAsia="en-GB"/>
              </w:rPr>
              <w:t>permit data mining:</w:t>
            </w:r>
            <w:r w:rsidRPr="007B0168">
              <w:rPr>
                <w:color w:val="auto"/>
                <w:sz w:val="18"/>
                <w:szCs w:val="18"/>
                <w:lang w:eastAsia="en-GB"/>
              </w:rPr>
              <w:t xml:space="preserve">  minimum requirements include explicit permission to download and store copies of the whole of the OA content in its</w:t>
            </w:r>
            <w:r>
              <w:rPr>
                <w:color w:val="auto"/>
                <w:sz w:val="18"/>
                <w:szCs w:val="18"/>
                <w:lang w:eastAsia="en-GB"/>
              </w:rPr>
              <w:t xml:space="preserve"> Version of Record</w:t>
            </w:r>
            <w:r w:rsidRPr="007B0168">
              <w:rPr>
                <w:color w:val="auto"/>
                <w:sz w:val="18"/>
                <w:szCs w:val="18"/>
                <w:lang w:eastAsia="en-GB"/>
              </w:rPr>
              <w:t xml:space="preserve"> </w:t>
            </w:r>
            <w:r>
              <w:rPr>
                <w:color w:val="auto"/>
                <w:sz w:val="18"/>
                <w:szCs w:val="18"/>
                <w:lang w:eastAsia="en-GB"/>
              </w:rPr>
              <w:t>(</w:t>
            </w:r>
            <w:r w:rsidRPr="007B0168">
              <w:rPr>
                <w:color w:val="auto"/>
                <w:sz w:val="18"/>
                <w:szCs w:val="18"/>
                <w:lang w:eastAsia="en-GB"/>
              </w:rPr>
              <w:t>VoR</w:t>
            </w:r>
            <w:r>
              <w:rPr>
                <w:color w:val="auto"/>
                <w:sz w:val="18"/>
                <w:szCs w:val="18"/>
                <w:lang w:eastAsia="en-GB"/>
              </w:rPr>
              <w:t>)</w:t>
            </w:r>
            <w:r w:rsidRPr="007B0168">
              <w:rPr>
                <w:color w:val="auto"/>
                <w:sz w:val="18"/>
                <w:szCs w:val="18"/>
                <w:lang w:eastAsia="en-GB"/>
              </w:rPr>
              <w:t xml:space="preserve">, ability to make the results of text mining publicly available, including for commercial purposes. </w:t>
            </w:r>
          </w:p>
          <w:p w14:paraId="5EDF414C" w14:textId="0EEBCAEB" w:rsidR="005C5584" w:rsidRDefault="005C5584" w:rsidP="0007186A">
            <w:pPr>
              <w:spacing w:before="120" w:after="120" w:line="240" w:lineRule="auto"/>
              <w:ind w:left="79" w:right="62"/>
              <w:rPr>
                <w:color w:val="auto"/>
                <w:sz w:val="18"/>
                <w:szCs w:val="18"/>
                <w:lang w:eastAsia="en-GB"/>
              </w:rPr>
            </w:pPr>
            <w:r>
              <w:rPr>
                <w:color w:val="auto"/>
                <w:sz w:val="18"/>
                <w:szCs w:val="18"/>
                <w:lang w:eastAsia="en-GB"/>
              </w:rPr>
              <w:t xml:space="preserve">Participate in TDM </w:t>
            </w:r>
            <w:r w:rsidRPr="007B0168">
              <w:rPr>
                <w:color w:val="auto"/>
                <w:sz w:val="18"/>
                <w:szCs w:val="18"/>
                <w:lang w:eastAsia="en-GB"/>
              </w:rPr>
              <w:t>solution</w:t>
            </w:r>
            <w:r>
              <w:rPr>
                <w:color w:val="auto"/>
                <w:sz w:val="18"/>
                <w:szCs w:val="18"/>
                <w:lang w:eastAsia="en-GB"/>
              </w:rPr>
              <w:t>s</w:t>
            </w:r>
            <w:r w:rsidRPr="007B0168">
              <w:rPr>
                <w:color w:val="auto"/>
                <w:sz w:val="18"/>
                <w:szCs w:val="18"/>
                <w:lang w:eastAsia="en-GB"/>
              </w:rPr>
              <w:t xml:space="preserve"> </w:t>
            </w:r>
            <w:r>
              <w:rPr>
                <w:color w:val="auto"/>
                <w:sz w:val="18"/>
                <w:szCs w:val="18"/>
                <w:lang w:eastAsia="en-GB"/>
              </w:rPr>
              <w:t>that facilitate</w:t>
            </w:r>
            <w:r w:rsidRPr="007B0168">
              <w:rPr>
                <w:color w:val="auto"/>
                <w:sz w:val="18"/>
                <w:szCs w:val="18"/>
                <w:lang w:eastAsia="en-GB"/>
              </w:rPr>
              <w:t xml:space="preserve"> mining</w:t>
            </w:r>
            <w:r>
              <w:rPr>
                <w:color w:val="auto"/>
                <w:sz w:val="18"/>
                <w:szCs w:val="18"/>
                <w:lang w:eastAsia="en-GB"/>
              </w:rPr>
              <w:t xml:space="preserve"> across content from many different publishers</w:t>
            </w:r>
            <w:r w:rsidRPr="007B0168">
              <w:rPr>
                <w:color w:val="auto"/>
                <w:sz w:val="18"/>
                <w:szCs w:val="18"/>
                <w:lang w:eastAsia="en-GB"/>
              </w:rPr>
              <w:t>.</w:t>
            </w:r>
          </w:p>
          <w:p w14:paraId="6FAC3F42" w14:textId="35D8FAD2" w:rsidR="005C5584" w:rsidRPr="0007186A" w:rsidRDefault="005C5584" w:rsidP="0007186A">
            <w:pPr>
              <w:spacing w:after="0" w:line="240" w:lineRule="auto"/>
              <w:ind w:right="62"/>
              <w:rPr>
                <w:color w:val="auto"/>
                <w:sz w:val="18"/>
                <w:szCs w:val="18"/>
                <w:lang w:eastAsia="en-GB"/>
              </w:rPr>
            </w:pPr>
          </w:p>
        </w:tc>
      </w:tr>
    </w:tbl>
    <w:p w14:paraId="2BCA2E29" w14:textId="4552F90F" w:rsidR="00E22691" w:rsidRDefault="00D525EA" w:rsidP="004812D8">
      <w:pPr>
        <w:rPr>
          <w:sz w:val="18"/>
          <w:szCs w:val="18"/>
        </w:rPr>
      </w:pPr>
      <w:r>
        <w:rPr>
          <w:sz w:val="18"/>
          <w:szCs w:val="18"/>
        </w:rPr>
        <w:t xml:space="preserve"> </w:t>
      </w:r>
    </w:p>
    <w:p w14:paraId="787F3AA6" w14:textId="5AC1D1C4" w:rsidR="00771A8E" w:rsidRDefault="00771A8E" w:rsidP="004812D8">
      <w:pPr>
        <w:rPr>
          <w:sz w:val="18"/>
          <w:szCs w:val="18"/>
        </w:rPr>
      </w:pPr>
    </w:p>
    <w:p w14:paraId="43F9DFA0" w14:textId="77777777" w:rsidR="007A2E59" w:rsidRPr="00237FD3" w:rsidRDefault="007A2E59" w:rsidP="004812D8">
      <w:pPr>
        <w:rPr>
          <w:sz w:val="18"/>
          <w:szCs w:val="18"/>
        </w:rPr>
      </w:pPr>
      <w:bookmarkStart w:id="0" w:name="_GoBack"/>
      <w:bookmarkEnd w:id="0"/>
    </w:p>
    <w:sectPr w:rsidR="007A2E59" w:rsidRPr="00237FD3" w:rsidSect="006E6925">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6838" w:h="11906" w:orient="landscape" w:code="9"/>
      <w:pgMar w:top="720" w:right="720" w:bottom="568"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1453" w14:textId="77777777" w:rsidR="00074D32" w:rsidRPr="000C2B7B" w:rsidRDefault="00074D32" w:rsidP="000C2B7B">
      <w:pPr>
        <w:pStyle w:val="Footer"/>
      </w:pPr>
    </w:p>
  </w:endnote>
  <w:endnote w:type="continuationSeparator" w:id="0">
    <w:p w14:paraId="2E30AD1C" w14:textId="77777777" w:rsidR="00074D32" w:rsidRDefault="00074D32" w:rsidP="007A22F6">
      <w:pPr>
        <w:spacing w:after="0" w:line="240" w:lineRule="auto"/>
      </w:pPr>
      <w:r>
        <w:continuationSeparator/>
      </w:r>
    </w:p>
  </w:endnote>
  <w:endnote w:type="continuationNotice" w:id="1">
    <w:p w14:paraId="3C0EF742" w14:textId="77777777" w:rsidR="00074D32" w:rsidRDefault="00074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DD01" w14:textId="77777777" w:rsidR="005C5584" w:rsidRDefault="005C5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63446"/>
      <w:docPartObj>
        <w:docPartGallery w:val="Page Numbers (Bottom of Page)"/>
        <w:docPartUnique/>
      </w:docPartObj>
    </w:sdtPr>
    <w:sdtEndPr>
      <w:rPr>
        <w:color w:val="7F7F7F" w:themeColor="background1" w:themeShade="7F"/>
        <w:spacing w:val="60"/>
      </w:rPr>
    </w:sdtEndPr>
    <w:sdtContent>
      <w:p w14:paraId="0C57F1A1" w14:textId="77777777" w:rsidR="003B1E17" w:rsidRDefault="003B1E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5584" w:rsidRPr="005C5584">
          <w:rPr>
            <w:b/>
            <w:bCs/>
            <w:noProof/>
          </w:rPr>
          <w:t>8</w:t>
        </w:r>
        <w:r>
          <w:rPr>
            <w:b/>
            <w:bCs/>
            <w:noProof/>
          </w:rPr>
          <w:fldChar w:fldCharType="end"/>
        </w:r>
        <w:r>
          <w:rPr>
            <w:b/>
            <w:bCs/>
          </w:rPr>
          <w:t xml:space="preserve"> | </w:t>
        </w:r>
        <w:r>
          <w:rPr>
            <w:color w:val="7F7F7F" w:themeColor="background1" w:themeShade="7F"/>
            <w:spacing w:val="60"/>
          </w:rPr>
          <w:t>Page</w:t>
        </w:r>
      </w:p>
    </w:sdtContent>
  </w:sdt>
  <w:p w14:paraId="24DD641D" w14:textId="77777777" w:rsidR="003B1E17" w:rsidRPr="00C750DB" w:rsidRDefault="003B1E17" w:rsidP="00D93469">
    <w:pPr>
      <w:pStyle w:val="JiscFooter"/>
      <w:tabs>
        <w:tab w:val="clear" w:pos="10206"/>
        <w:tab w:val="left" w:pos="1560"/>
      </w:tabs>
      <w:rPr>
        <w:b/>
        <w:color w:val="B71A8B"/>
      </w:rPr>
    </w:pPr>
    <w:r>
      <w:rPr>
        <w:sz w:val="28"/>
        <w:szCs w:val="28"/>
      </w:rPr>
      <w:t>Open Access Compliance:  How publishers can reach the recommended standards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651D" w14:textId="77777777" w:rsidR="005C5584" w:rsidRDefault="005C5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CD3EE" w14:textId="77777777" w:rsidR="00074D32" w:rsidRDefault="00074D32" w:rsidP="007A22F6">
      <w:pPr>
        <w:spacing w:after="0" w:line="240" w:lineRule="auto"/>
      </w:pPr>
      <w:r>
        <w:separator/>
      </w:r>
    </w:p>
  </w:footnote>
  <w:footnote w:type="continuationSeparator" w:id="0">
    <w:p w14:paraId="547557ED" w14:textId="77777777" w:rsidR="00074D32" w:rsidRDefault="00074D32" w:rsidP="007A22F6">
      <w:pPr>
        <w:spacing w:after="0" w:line="240" w:lineRule="auto"/>
      </w:pPr>
      <w:r>
        <w:continuationSeparator/>
      </w:r>
    </w:p>
  </w:footnote>
  <w:footnote w:type="continuationNotice" w:id="1">
    <w:p w14:paraId="0822D05E" w14:textId="77777777" w:rsidR="00074D32" w:rsidRDefault="00074D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0FF0" w14:textId="77777777" w:rsidR="005C5584" w:rsidRDefault="005C5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0501" w14:textId="77777777" w:rsidR="003B1E17" w:rsidRDefault="003B1E17" w:rsidP="00366A34">
    <w:pPr>
      <w:pStyle w:val="JiscHeaderLine1"/>
      <w:tabs>
        <w:tab w:val="left" w:pos="2835"/>
        <w:tab w:val="left" w:pos="3240"/>
        <w:tab w:val="right" w:pos="15026"/>
      </w:tabs>
      <w:jc w:val="left"/>
      <w:rPr>
        <w:sz w:val="28"/>
        <w:szCs w:val="28"/>
      </w:rPr>
    </w:pPr>
    <w:r>
      <w:rPr>
        <w:sz w:val="28"/>
        <w:szCs w:val="28"/>
      </w:rPr>
      <w:tab/>
    </w:r>
    <w:r>
      <w:rPr>
        <w:sz w:val="28"/>
        <w:szCs w:val="28"/>
      </w:rPr>
      <w:tab/>
    </w:r>
    <w:r>
      <w:rPr>
        <w:sz w:val="28"/>
        <w:szCs w:val="28"/>
      </w:rPr>
      <w:tab/>
    </w:r>
    <w:r>
      <w:rPr>
        <w:sz w:val="28"/>
        <w:szCs w:val="28"/>
      </w:rPr>
      <w:tab/>
    </w:r>
    <w:r w:rsidRPr="00E95794">
      <w:rPr>
        <w:sz w:val="28"/>
        <w:szCs w:val="28"/>
        <w:lang w:val="en-GB" w:eastAsia="en-GB"/>
      </w:rPr>
      <mc:AlternateContent>
        <mc:Choice Requires="wps">
          <w:drawing>
            <wp:anchor distT="4294967295" distB="4294967295" distL="114300" distR="114300" simplePos="0" relativeHeight="251658244" behindDoc="1" locked="0" layoutInCell="1" allowOverlap="1" wp14:anchorId="66818AA2" wp14:editId="12B059D9">
              <wp:simplePos x="0" y="0"/>
              <wp:positionH relativeFrom="page">
                <wp:posOffset>540385</wp:posOffset>
              </wp:positionH>
              <wp:positionV relativeFrom="page">
                <wp:posOffset>360044</wp:posOffset>
              </wp:positionV>
              <wp:extent cx="64801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CB60C0" id="Straight Connector 7" o:spid="_x0000_s1026" style="position:absolute;z-index:-2516582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Pr="00E95794">
      <w:rPr>
        <w:sz w:val="28"/>
        <w:szCs w:val="28"/>
        <w:lang w:val="en-GB" w:eastAsia="en-GB"/>
      </w:rPr>
      <w:drawing>
        <wp:anchor distT="0" distB="0" distL="114300" distR="114300" simplePos="0" relativeHeight="251658243" behindDoc="1" locked="0" layoutInCell="1" allowOverlap="1" wp14:anchorId="12738A04" wp14:editId="7582670F">
          <wp:simplePos x="0" y="0"/>
          <wp:positionH relativeFrom="page">
            <wp:posOffset>540385</wp:posOffset>
          </wp:positionH>
          <wp:positionV relativeFrom="page">
            <wp:posOffset>360045</wp:posOffset>
          </wp:positionV>
          <wp:extent cx="673100" cy="38989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sz w:val="28"/>
        <w:szCs w:val="28"/>
      </w:rPr>
      <w:t xml:space="preserve"> </w:t>
    </w:r>
  </w:p>
  <w:p w14:paraId="781FB7E0" w14:textId="77777777" w:rsidR="003B1E17" w:rsidRPr="00E95794" w:rsidRDefault="003B1E17" w:rsidP="00B71604">
    <w:pPr>
      <w:pStyle w:val="JiscHeaderLine1"/>
      <w:tabs>
        <w:tab w:val="left" w:pos="2835"/>
        <w:tab w:val="right" w:pos="15026"/>
      </w:tabs>
      <w:jc w:val="left"/>
      <w:rPr>
        <w:sz w:val="28"/>
        <w:szCs w:val="28"/>
      </w:rPr>
    </w:pPr>
    <w:r>
      <w:rPr>
        <w:sz w:val="28"/>
        <w:szCs w:val="28"/>
      </w:rPr>
      <w:tab/>
    </w:r>
    <w:r>
      <w:rPr>
        <w:sz w:val="28"/>
        <w:szCs w:val="28"/>
      </w:rPr>
      <w:tab/>
    </w:r>
  </w:p>
  <w:p w14:paraId="73DDF546" w14:textId="77777777" w:rsidR="003B1E17" w:rsidRDefault="003B1E17" w:rsidP="002D2DDA">
    <w:pPr>
      <w:pStyle w:val="JiscHeaderLine1"/>
    </w:pPr>
  </w:p>
  <w:p w14:paraId="25177ABD" w14:textId="77777777" w:rsidR="003B1E17" w:rsidRPr="00183065" w:rsidRDefault="003B1E17" w:rsidP="002D2DDA">
    <w:pPr>
      <w:pStyle w:val="JiscHeaderLin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6936" w14:textId="6B4D11BA" w:rsidR="003B1E17" w:rsidRDefault="005C5584" w:rsidP="00FB72C3">
    <w:pPr>
      <w:pStyle w:val="JiscHeaderLine1"/>
    </w:pPr>
    <w:sdt>
      <w:sdtPr>
        <w:id w:val="1957358475"/>
        <w:docPartObj>
          <w:docPartGallery w:val="Watermarks"/>
          <w:docPartUnique/>
        </w:docPartObj>
      </w:sdtPr>
      <w:sdtContent>
        <w:r>
          <w:pict w14:anchorId="13A1D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1E17" w:rsidRPr="00060BFC">
      <w:rPr>
        <w:lang w:val="en-GB" w:eastAsia="en-GB"/>
      </w:rPr>
      <mc:AlternateContent>
        <mc:Choice Requires="wps">
          <w:drawing>
            <wp:anchor distT="4294967295" distB="4294967295" distL="114300" distR="114300" simplePos="0" relativeHeight="251658242" behindDoc="1" locked="0" layoutInCell="1" allowOverlap="1" wp14:anchorId="26B89FB7" wp14:editId="13D3ED4D">
              <wp:simplePos x="0" y="0"/>
              <wp:positionH relativeFrom="page">
                <wp:posOffset>540385</wp:posOffset>
              </wp:positionH>
              <wp:positionV relativeFrom="page">
                <wp:posOffset>1511934</wp:posOffset>
              </wp:positionV>
              <wp:extent cx="6480175" cy="0"/>
              <wp:effectExtent l="0" t="0" r="349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62DF1C" id="Straight Connector 8" o:spid="_x0000_s1026" style="position:absolute;z-index:-25165823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mc:Fallback>
      </mc:AlternateContent>
    </w:r>
    <w:r w:rsidR="003B1E17" w:rsidRPr="00060BFC">
      <w:rPr>
        <w:lang w:val="en-GB" w:eastAsia="en-GB"/>
      </w:rPr>
      <mc:AlternateContent>
        <mc:Choice Requires="wps">
          <w:drawing>
            <wp:anchor distT="4294967295" distB="4294967295" distL="114300" distR="114300" simplePos="0" relativeHeight="251658241" behindDoc="1" locked="0" layoutInCell="1" allowOverlap="1" wp14:anchorId="444350D4" wp14:editId="6580B526">
              <wp:simplePos x="0" y="0"/>
              <wp:positionH relativeFrom="page">
                <wp:posOffset>540385</wp:posOffset>
              </wp:positionH>
              <wp:positionV relativeFrom="page">
                <wp:posOffset>360044</wp:posOffset>
              </wp:positionV>
              <wp:extent cx="6480175" cy="0"/>
              <wp:effectExtent l="0" t="0" r="349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EF694B" id="Straight Connector 1" o:spid="_x0000_s1026" style="position:absolute;z-index:-25165823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003B1E17" w:rsidRPr="00060BFC">
      <w:rPr>
        <w:lang w:val="en-GB" w:eastAsia="en-GB"/>
      </w:rPr>
      <w:drawing>
        <wp:anchor distT="0" distB="0" distL="114300" distR="114300" simplePos="0" relativeHeight="251658240" behindDoc="1" locked="0" layoutInCell="1" allowOverlap="1" wp14:anchorId="15B24E5F" wp14:editId="747544A3">
          <wp:simplePos x="0" y="0"/>
          <wp:positionH relativeFrom="page">
            <wp:posOffset>540385</wp:posOffset>
          </wp:positionH>
          <wp:positionV relativeFrom="page">
            <wp:posOffset>360045</wp:posOffset>
          </wp:positionV>
          <wp:extent cx="1188720" cy="69151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B1E17">
      <w:t xml:space="preserve"> </w:t>
    </w:r>
  </w:p>
  <w:p w14:paraId="0C5B40F2" w14:textId="77777777" w:rsidR="003B1E17" w:rsidRDefault="003B1E17" w:rsidP="00FB72C3">
    <w:pPr>
      <w:pStyle w:val="JiscHeaderLi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8606932"/>
    <w:multiLevelType w:val="hybridMultilevel"/>
    <w:tmpl w:val="F52C57F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B7BDC"/>
    <w:multiLevelType w:val="hybridMultilevel"/>
    <w:tmpl w:val="0C20ABCC"/>
    <w:lvl w:ilvl="0" w:tplc="08090001">
      <w:start w:val="1"/>
      <w:numFmt w:val="bullet"/>
      <w:lvlText w:val=""/>
      <w:lvlJc w:val="left"/>
      <w:pPr>
        <w:ind w:left="439" w:hanging="360"/>
      </w:pPr>
      <w:rPr>
        <w:rFonts w:ascii="Symbol" w:hAnsi="Symbo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0" w15:restartNumberingAfterBreak="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FA7497"/>
    <w:multiLevelType w:val="hybridMultilevel"/>
    <w:tmpl w:val="15ACDE28"/>
    <w:lvl w:ilvl="0" w:tplc="08090001">
      <w:start w:val="1"/>
      <w:numFmt w:val="bullet"/>
      <w:lvlText w:val=""/>
      <w:lvlJc w:val="left"/>
      <w:pPr>
        <w:ind w:left="439" w:hanging="360"/>
      </w:pPr>
      <w:rPr>
        <w:rFonts w:ascii="Symbol" w:hAnsi="Symbo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2" w15:restartNumberingAfterBreak="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762D3"/>
    <w:multiLevelType w:val="hybridMultilevel"/>
    <w:tmpl w:val="E06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EE52824"/>
    <w:multiLevelType w:val="hybridMultilevel"/>
    <w:tmpl w:val="55D8D68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6" w15:restartNumberingAfterBreak="0">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611146"/>
    <w:multiLevelType w:val="hybridMultilevel"/>
    <w:tmpl w:val="AA96EBEE"/>
    <w:lvl w:ilvl="0" w:tplc="08090001">
      <w:start w:val="1"/>
      <w:numFmt w:val="bullet"/>
      <w:lvlText w:val=""/>
      <w:lvlJc w:val="left"/>
      <w:pPr>
        <w:ind w:left="439" w:hanging="360"/>
      </w:pPr>
      <w:rPr>
        <w:rFonts w:ascii="Symbol" w:hAnsi="Symbo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9" w15:restartNumberingAfterBreak="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89E2A78"/>
    <w:multiLevelType w:val="hybridMultilevel"/>
    <w:tmpl w:val="FE080962"/>
    <w:lvl w:ilvl="0" w:tplc="5A062EA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8065FE"/>
    <w:multiLevelType w:val="hybridMultilevel"/>
    <w:tmpl w:val="1D68602E"/>
    <w:lvl w:ilvl="0" w:tplc="5A062EA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D6BF9"/>
    <w:multiLevelType w:val="hybridMultilevel"/>
    <w:tmpl w:val="125CAE7E"/>
    <w:lvl w:ilvl="0" w:tplc="D1AE7F2A">
      <w:start w:val="1"/>
      <w:numFmt w:val="bullet"/>
      <w:lvlText w:val="-"/>
      <w:lvlJc w:val="left"/>
      <w:pPr>
        <w:ind w:left="439" w:hanging="360"/>
      </w:pPr>
      <w:rPr>
        <w:rFonts w:ascii="Corbel" w:eastAsia="Calibri" w:hAnsi="Corbel" w:cs="Times New Roman" w:hint="default"/>
        <w:b/>
        <w:color w:val="2C3841"/>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24" w15:restartNumberingAfterBreak="0">
    <w:nsid w:val="60304B05"/>
    <w:multiLevelType w:val="hybridMultilevel"/>
    <w:tmpl w:val="7A4C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E7A30"/>
    <w:multiLevelType w:val="hybridMultilevel"/>
    <w:tmpl w:val="CF465CB4"/>
    <w:lvl w:ilvl="0" w:tplc="08090001">
      <w:start w:val="1"/>
      <w:numFmt w:val="bullet"/>
      <w:lvlText w:val=""/>
      <w:lvlJc w:val="left"/>
      <w:pPr>
        <w:ind w:left="439" w:hanging="360"/>
      </w:pPr>
      <w:rPr>
        <w:rFonts w:ascii="Symbol" w:hAnsi="Symbo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26" w15:restartNumberingAfterBreak="0">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A927ED0"/>
    <w:multiLevelType w:val="hybridMultilevel"/>
    <w:tmpl w:val="A212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733FE"/>
    <w:multiLevelType w:val="hybridMultilevel"/>
    <w:tmpl w:val="B1A0DD24"/>
    <w:lvl w:ilvl="0" w:tplc="D1AE7F2A">
      <w:start w:val="1"/>
      <w:numFmt w:val="bullet"/>
      <w:lvlText w:val="-"/>
      <w:lvlJc w:val="left"/>
      <w:pPr>
        <w:ind w:left="518" w:hanging="360"/>
      </w:pPr>
      <w:rPr>
        <w:rFonts w:ascii="Corbel" w:eastAsia="Calibri" w:hAnsi="Corbel" w:cs="Times New Roman" w:hint="default"/>
        <w:b/>
        <w:color w:val="2C3841"/>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abstractNumId w:val="19"/>
  </w:num>
  <w:num w:numId="2">
    <w:abstractNumId w:val="2"/>
  </w:num>
  <w:num w:numId="3">
    <w:abstractNumId w:val="7"/>
  </w:num>
  <w:num w:numId="4">
    <w:abstractNumId w:val="5"/>
  </w:num>
  <w:num w:numId="5">
    <w:abstractNumId w:val="6"/>
  </w:num>
  <w:num w:numId="6">
    <w:abstractNumId w:val="21"/>
  </w:num>
  <w:num w:numId="7">
    <w:abstractNumId w:val="29"/>
  </w:num>
  <w:num w:numId="8">
    <w:abstractNumId w:val="4"/>
  </w:num>
  <w:num w:numId="9">
    <w:abstractNumId w:val="26"/>
  </w:num>
  <w:num w:numId="10">
    <w:abstractNumId w:val="8"/>
  </w:num>
  <w:num w:numId="11">
    <w:abstractNumId w:val="10"/>
  </w:num>
  <w:num w:numId="12">
    <w:abstractNumId w:val="17"/>
  </w:num>
  <w:num w:numId="13">
    <w:abstractNumId w:val="14"/>
  </w:num>
  <w:num w:numId="14">
    <w:abstractNumId w:val="16"/>
  </w:num>
  <w:num w:numId="15">
    <w:abstractNumId w:val="30"/>
  </w:num>
  <w:num w:numId="16">
    <w:abstractNumId w:val="12"/>
  </w:num>
  <w:num w:numId="17">
    <w:abstractNumId w:val="0"/>
  </w:num>
  <w:num w:numId="18">
    <w:abstractNumId w:val="28"/>
  </w:num>
  <w:num w:numId="19">
    <w:abstractNumId w:val="27"/>
  </w:num>
  <w:num w:numId="20">
    <w:abstractNumId w:val="32"/>
  </w:num>
  <w:num w:numId="21">
    <w:abstractNumId w:val="3"/>
  </w:num>
  <w:num w:numId="22">
    <w:abstractNumId w:val="1"/>
  </w:num>
  <w:num w:numId="23">
    <w:abstractNumId w:val="22"/>
  </w:num>
  <w:num w:numId="24">
    <w:abstractNumId w:val="20"/>
  </w:num>
  <w:num w:numId="25">
    <w:abstractNumId w:val="31"/>
  </w:num>
  <w:num w:numId="26">
    <w:abstractNumId w:val="24"/>
  </w:num>
  <w:num w:numId="27">
    <w:abstractNumId w:val="15"/>
  </w:num>
  <w:num w:numId="28">
    <w:abstractNumId w:val="11"/>
  </w:num>
  <w:num w:numId="29">
    <w:abstractNumId w:val="18"/>
  </w:num>
  <w:num w:numId="30">
    <w:abstractNumId w:val="25"/>
  </w:num>
  <w:num w:numId="31">
    <w:abstractNumId w:val="13"/>
  </w:num>
  <w:num w:numId="32">
    <w:abstractNumId w:val="23"/>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efaultTableStyle w:val="JiscBox1"/>
  <w:characterSpacingControl w:val="doNotCompress"/>
  <w:hdrShapeDefaults>
    <o:shapedefaults v:ext="edit" spidmax="2050"/>
    <o:shapelayout v:ext="edit">
      <o:idmap v:ext="edit" data="2"/>
    </o:shapelayout>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0CE6"/>
    <w:rsid w:val="00003BA8"/>
    <w:rsid w:val="000064DC"/>
    <w:rsid w:val="000105D5"/>
    <w:rsid w:val="00015A42"/>
    <w:rsid w:val="000161B3"/>
    <w:rsid w:val="00016CB8"/>
    <w:rsid w:val="00023D5B"/>
    <w:rsid w:val="00026FAB"/>
    <w:rsid w:val="00027246"/>
    <w:rsid w:val="00030660"/>
    <w:rsid w:val="00031B6A"/>
    <w:rsid w:val="000326F3"/>
    <w:rsid w:val="00033C7D"/>
    <w:rsid w:val="00034826"/>
    <w:rsid w:val="00035D7D"/>
    <w:rsid w:val="00036E29"/>
    <w:rsid w:val="00040EC0"/>
    <w:rsid w:val="000428BC"/>
    <w:rsid w:val="00042CBE"/>
    <w:rsid w:val="000455CF"/>
    <w:rsid w:val="000520AA"/>
    <w:rsid w:val="00054CDC"/>
    <w:rsid w:val="00061DAB"/>
    <w:rsid w:val="000626D0"/>
    <w:rsid w:val="00062D34"/>
    <w:rsid w:val="000634C5"/>
    <w:rsid w:val="0006674B"/>
    <w:rsid w:val="00066BC4"/>
    <w:rsid w:val="0007079C"/>
    <w:rsid w:val="00070BC0"/>
    <w:rsid w:val="0007186A"/>
    <w:rsid w:val="000720EC"/>
    <w:rsid w:val="00074D32"/>
    <w:rsid w:val="0007580B"/>
    <w:rsid w:val="00085FDC"/>
    <w:rsid w:val="000900A7"/>
    <w:rsid w:val="00091052"/>
    <w:rsid w:val="0009651E"/>
    <w:rsid w:val="000A3879"/>
    <w:rsid w:val="000B37D2"/>
    <w:rsid w:val="000B4576"/>
    <w:rsid w:val="000B6C84"/>
    <w:rsid w:val="000C2228"/>
    <w:rsid w:val="000C2B7B"/>
    <w:rsid w:val="000C4C75"/>
    <w:rsid w:val="000C57B5"/>
    <w:rsid w:val="000C5DD7"/>
    <w:rsid w:val="000C79F3"/>
    <w:rsid w:val="000D1362"/>
    <w:rsid w:val="000D2936"/>
    <w:rsid w:val="000D2D07"/>
    <w:rsid w:val="000D6527"/>
    <w:rsid w:val="000D7079"/>
    <w:rsid w:val="000D7E8E"/>
    <w:rsid w:val="000E039D"/>
    <w:rsid w:val="000E067D"/>
    <w:rsid w:val="000E1101"/>
    <w:rsid w:val="000E11F5"/>
    <w:rsid w:val="000E16C2"/>
    <w:rsid w:val="000F4B40"/>
    <w:rsid w:val="000F5DE8"/>
    <w:rsid w:val="000F614D"/>
    <w:rsid w:val="001113DE"/>
    <w:rsid w:val="001131A4"/>
    <w:rsid w:val="00114AA8"/>
    <w:rsid w:val="00115238"/>
    <w:rsid w:val="00115D42"/>
    <w:rsid w:val="00116CA0"/>
    <w:rsid w:val="00121313"/>
    <w:rsid w:val="00122A74"/>
    <w:rsid w:val="00122E38"/>
    <w:rsid w:val="00122F77"/>
    <w:rsid w:val="00123F94"/>
    <w:rsid w:val="001437F4"/>
    <w:rsid w:val="00145D4D"/>
    <w:rsid w:val="00147514"/>
    <w:rsid w:val="00150A86"/>
    <w:rsid w:val="00156A33"/>
    <w:rsid w:val="0016071C"/>
    <w:rsid w:val="001640BD"/>
    <w:rsid w:val="0017012F"/>
    <w:rsid w:val="00170D18"/>
    <w:rsid w:val="00171AE9"/>
    <w:rsid w:val="001825AF"/>
    <w:rsid w:val="00184455"/>
    <w:rsid w:val="0019197E"/>
    <w:rsid w:val="00192CC5"/>
    <w:rsid w:val="0019302F"/>
    <w:rsid w:val="00197078"/>
    <w:rsid w:val="001A392C"/>
    <w:rsid w:val="001A595D"/>
    <w:rsid w:val="001A5ACB"/>
    <w:rsid w:val="001A7A7E"/>
    <w:rsid w:val="001B10AE"/>
    <w:rsid w:val="001B38B7"/>
    <w:rsid w:val="001B438B"/>
    <w:rsid w:val="001B469B"/>
    <w:rsid w:val="001B77D9"/>
    <w:rsid w:val="001C05F2"/>
    <w:rsid w:val="001C14F6"/>
    <w:rsid w:val="001C1E10"/>
    <w:rsid w:val="001C39EB"/>
    <w:rsid w:val="001C600F"/>
    <w:rsid w:val="001D3A63"/>
    <w:rsid w:val="001D486B"/>
    <w:rsid w:val="001D5D07"/>
    <w:rsid w:val="001D63C2"/>
    <w:rsid w:val="001D6DFE"/>
    <w:rsid w:val="001E219B"/>
    <w:rsid w:val="001E3DE0"/>
    <w:rsid w:val="001E6A15"/>
    <w:rsid w:val="001E785D"/>
    <w:rsid w:val="001E7DAF"/>
    <w:rsid w:val="001F2A56"/>
    <w:rsid w:val="001F340F"/>
    <w:rsid w:val="001F43BB"/>
    <w:rsid w:val="002037C9"/>
    <w:rsid w:val="002067D1"/>
    <w:rsid w:val="00211AC4"/>
    <w:rsid w:val="00211E0E"/>
    <w:rsid w:val="00216F59"/>
    <w:rsid w:val="002242FF"/>
    <w:rsid w:val="002317DF"/>
    <w:rsid w:val="002355B8"/>
    <w:rsid w:val="0023561C"/>
    <w:rsid w:val="00237FD3"/>
    <w:rsid w:val="0024070C"/>
    <w:rsid w:val="00240A42"/>
    <w:rsid w:val="00240F1C"/>
    <w:rsid w:val="0024405C"/>
    <w:rsid w:val="00246499"/>
    <w:rsid w:val="002464B2"/>
    <w:rsid w:val="002464F0"/>
    <w:rsid w:val="00247952"/>
    <w:rsid w:val="0025005C"/>
    <w:rsid w:val="0025059B"/>
    <w:rsid w:val="00250776"/>
    <w:rsid w:val="00255565"/>
    <w:rsid w:val="0026262C"/>
    <w:rsid w:val="00264A89"/>
    <w:rsid w:val="00271C60"/>
    <w:rsid w:val="00271CC4"/>
    <w:rsid w:val="00271F9B"/>
    <w:rsid w:val="002734E8"/>
    <w:rsid w:val="00274030"/>
    <w:rsid w:val="00276269"/>
    <w:rsid w:val="002765BA"/>
    <w:rsid w:val="00281B3C"/>
    <w:rsid w:val="00282D32"/>
    <w:rsid w:val="002863F2"/>
    <w:rsid w:val="00287CD8"/>
    <w:rsid w:val="002A31F4"/>
    <w:rsid w:val="002A39F0"/>
    <w:rsid w:val="002B23BB"/>
    <w:rsid w:val="002B2F4B"/>
    <w:rsid w:val="002B330C"/>
    <w:rsid w:val="002B7748"/>
    <w:rsid w:val="002B7CE5"/>
    <w:rsid w:val="002C1983"/>
    <w:rsid w:val="002C267B"/>
    <w:rsid w:val="002C2BD6"/>
    <w:rsid w:val="002D2DDA"/>
    <w:rsid w:val="002E23A1"/>
    <w:rsid w:val="002E3DEC"/>
    <w:rsid w:val="002E5370"/>
    <w:rsid w:val="002E558E"/>
    <w:rsid w:val="002F5ACB"/>
    <w:rsid w:val="002F7654"/>
    <w:rsid w:val="003008ED"/>
    <w:rsid w:val="00303264"/>
    <w:rsid w:val="00307FF0"/>
    <w:rsid w:val="00311B8F"/>
    <w:rsid w:val="003124E3"/>
    <w:rsid w:val="0031255C"/>
    <w:rsid w:val="0031266F"/>
    <w:rsid w:val="003148CE"/>
    <w:rsid w:val="00317807"/>
    <w:rsid w:val="00324447"/>
    <w:rsid w:val="00325859"/>
    <w:rsid w:val="003274DB"/>
    <w:rsid w:val="0033013C"/>
    <w:rsid w:val="0033524C"/>
    <w:rsid w:val="0033699A"/>
    <w:rsid w:val="0034005F"/>
    <w:rsid w:val="0034249C"/>
    <w:rsid w:val="0034317E"/>
    <w:rsid w:val="00345562"/>
    <w:rsid w:val="00352E66"/>
    <w:rsid w:val="003552E6"/>
    <w:rsid w:val="0036295A"/>
    <w:rsid w:val="00362EC6"/>
    <w:rsid w:val="00366861"/>
    <w:rsid w:val="00366A34"/>
    <w:rsid w:val="0037008F"/>
    <w:rsid w:val="003705B1"/>
    <w:rsid w:val="00370D33"/>
    <w:rsid w:val="00374ABA"/>
    <w:rsid w:val="00381318"/>
    <w:rsid w:val="0038319F"/>
    <w:rsid w:val="00391CB5"/>
    <w:rsid w:val="003958C7"/>
    <w:rsid w:val="003B0FD6"/>
    <w:rsid w:val="003B1E17"/>
    <w:rsid w:val="003B293B"/>
    <w:rsid w:val="003C088B"/>
    <w:rsid w:val="003C29C2"/>
    <w:rsid w:val="003C4DB6"/>
    <w:rsid w:val="003C58C6"/>
    <w:rsid w:val="003C642E"/>
    <w:rsid w:val="003D4A1B"/>
    <w:rsid w:val="003D5196"/>
    <w:rsid w:val="003D7C04"/>
    <w:rsid w:val="003E51FE"/>
    <w:rsid w:val="003F391B"/>
    <w:rsid w:val="003F4653"/>
    <w:rsid w:val="00400390"/>
    <w:rsid w:val="0040079C"/>
    <w:rsid w:val="00404E44"/>
    <w:rsid w:val="004054D2"/>
    <w:rsid w:val="00405BB0"/>
    <w:rsid w:val="00406168"/>
    <w:rsid w:val="004063A0"/>
    <w:rsid w:val="00407059"/>
    <w:rsid w:val="0041288C"/>
    <w:rsid w:val="004150CE"/>
    <w:rsid w:val="00421290"/>
    <w:rsid w:val="004233CF"/>
    <w:rsid w:val="00427AD0"/>
    <w:rsid w:val="0043433C"/>
    <w:rsid w:val="00434E94"/>
    <w:rsid w:val="004377AF"/>
    <w:rsid w:val="004478A6"/>
    <w:rsid w:val="004508A9"/>
    <w:rsid w:val="00451417"/>
    <w:rsid w:val="004522BA"/>
    <w:rsid w:val="004537F1"/>
    <w:rsid w:val="004555C8"/>
    <w:rsid w:val="0046052D"/>
    <w:rsid w:val="00462E58"/>
    <w:rsid w:val="004678A7"/>
    <w:rsid w:val="004773FE"/>
    <w:rsid w:val="0047761C"/>
    <w:rsid w:val="00480502"/>
    <w:rsid w:val="004812D8"/>
    <w:rsid w:val="00482610"/>
    <w:rsid w:val="00484F9D"/>
    <w:rsid w:val="004913A4"/>
    <w:rsid w:val="004A1F97"/>
    <w:rsid w:val="004A4487"/>
    <w:rsid w:val="004B3233"/>
    <w:rsid w:val="004B657B"/>
    <w:rsid w:val="004B7966"/>
    <w:rsid w:val="004C1C96"/>
    <w:rsid w:val="004C3BB6"/>
    <w:rsid w:val="004C4D97"/>
    <w:rsid w:val="004C5E18"/>
    <w:rsid w:val="004D2C09"/>
    <w:rsid w:val="004D763A"/>
    <w:rsid w:val="004E170E"/>
    <w:rsid w:val="004E1962"/>
    <w:rsid w:val="004E3DD6"/>
    <w:rsid w:val="004F2045"/>
    <w:rsid w:val="004F33F3"/>
    <w:rsid w:val="00502150"/>
    <w:rsid w:val="00506841"/>
    <w:rsid w:val="00506B38"/>
    <w:rsid w:val="00510DEF"/>
    <w:rsid w:val="00512220"/>
    <w:rsid w:val="00512A39"/>
    <w:rsid w:val="00526712"/>
    <w:rsid w:val="00531B59"/>
    <w:rsid w:val="00534728"/>
    <w:rsid w:val="00536B7C"/>
    <w:rsid w:val="005408FF"/>
    <w:rsid w:val="00541B41"/>
    <w:rsid w:val="00545382"/>
    <w:rsid w:val="00550BD8"/>
    <w:rsid w:val="00553CB5"/>
    <w:rsid w:val="005547BF"/>
    <w:rsid w:val="00554930"/>
    <w:rsid w:val="00561425"/>
    <w:rsid w:val="005620E3"/>
    <w:rsid w:val="0056249E"/>
    <w:rsid w:val="0057725D"/>
    <w:rsid w:val="0058468D"/>
    <w:rsid w:val="0058572C"/>
    <w:rsid w:val="00585CAE"/>
    <w:rsid w:val="005913C9"/>
    <w:rsid w:val="00591618"/>
    <w:rsid w:val="0059790D"/>
    <w:rsid w:val="005A5D06"/>
    <w:rsid w:val="005A6B16"/>
    <w:rsid w:val="005B144F"/>
    <w:rsid w:val="005B3CC9"/>
    <w:rsid w:val="005B4C5B"/>
    <w:rsid w:val="005B4EEE"/>
    <w:rsid w:val="005C057F"/>
    <w:rsid w:val="005C1B8D"/>
    <w:rsid w:val="005C2AB1"/>
    <w:rsid w:val="005C5584"/>
    <w:rsid w:val="005C5F55"/>
    <w:rsid w:val="005C6C3E"/>
    <w:rsid w:val="005D2E82"/>
    <w:rsid w:val="005D4D02"/>
    <w:rsid w:val="005D68E1"/>
    <w:rsid w:val="005E0F21"/>
    <w:rsid w:val="005E31E1"/>
    <w:rsid w:val="005E6EA6"/>
    <w:rsid w:val="005F51E9"/>
    <w:rsid w:val="005F54AF"/>
    <w:rsid w:val="005F6244"/>
    <w:rsid w:val="005F7A80"/>
    <w:rsid w:val="00600C05"/>
    <w:rsid w:val="00602EFD"/>
    <w:rsid w:val="00604FF3"/>
    <w:rsid w:val="0061512A"/>
    <w:rsid w:val="00615422"/>
    <w:rsid w:val="006201A3"/>
    <w:rsid w:val="00621CA7"/>
    <w:rsid w:val="00627B22"/>
    <w:rsid w:val="00637FD9"/>
    <w:rsid w:val="006404F4"/>
    <w:rsid w:val="00643171"/>
    <w:rsid w:val="00646BC5"/>
    <w:rsid w:val="00647D66"/>
    <w:rsid w:val="0065518D"/>
    <w:rsid w:val="00656894"/>
    <w:rsid w:val="00661571"/>
    <w:rsid w:val="00662E2D"/>
    <w:rsid w:val="0066632F"/>
    <w:rsid w:val="00666CD4"/>
    <w:rsid w:val="00682A14"/>
    <w:rsid w:val="006839C6"/>
    <w:rsid w:val="00691C62"/>
    <w:rsid w:val="006A3512"/>
    <w:rsid w:val="006A4599"/>
    <w:rsid w:val="006B0FCB"/>
    <w:rsid w:val="006B124D"/>
    <w:rsid w:val="006B16B0"/>
    <w:rsid w:val="006B3055"/>
    <w:rsid w:val="006B433D"/>
    <w:rsid w:val="006B5611"/>
    <w:rsid w:val="006C4E03"/>
    <w:rsid w:val="006C5607"/>
    <w:rsid w:val="006C6898"/>
    <w:rsid w:val="006C6CDA"/>
    <w:rsid w:val="006D04F4"/>
    <w:rsid w:val="006D6ADE"/>
    <w:rsid w:val="006D7759"/>
    <w:rsid w:val="006E4F4E"/>
    <w:rsid w:val="006E6925"/>
    <w:rsid w:val="006F0AEE"/>
    <w:rsid w:val="006F1791"/>
    <w:rsid w:val="006F1A3A"/>
    <w:rsid w:val="006F2FF3"/>
    <w:rsid w:val="0071665D"/>
    <w:rsid w:val="00717F2A"/>
    <w:rsid w:val="007200EE"/>
    <w:rsid w:val="00721820"/>
    <w:rsid w:val="007221FA"/>
    <w:rsid w:val="007318E7"/>
    <w:rsid w:val="007335B9"/>
    <w:rsid w:val="00733B05"/>
    <w:rsid w:val="00733D4C"/>
    <w:rsid w:val="007348A0"/>
    <w:rsid w:val="007351B7"/>
    <w:rsid w:val="0073762B"/>
    <w:rsid w:val="00743976"/>
    <w:rsid w:val="00743AAF"/>
    <w:rsid w:val="007458BC"/>
    <w:rsid w:val="00745B46"/>
    <w:rsid w:val="00746093"/>
    <w:rsid w:val="00754395"/>
    <w:rsid w:val="00756145"/>
    <w:rsid w:val="007621AA"/>
    <w:rsid w:val="007626FA"/>
    <w:rsid w:val="00764935"/>
    <w:rsid w:val="00765362"/>
    <w:rsid w:val="00771A79"/>
    <w:rsid w:val="00771A8E"/>
    <w:rsid w:val="00771CFA"/>
    <w:rsid w:val="00777735"/>
    <w:rsid w:val="00784854"/>
    <w:rsid w:val="00787050"/>
    <w:rsid w:val="0078732B"/>
    <w:rsid w:val="00787EB5"/>
    <w:rsid w:val="007A1369"/>
    <w:rsid w:val="007A22F6"/>
    <w:rsid w:val="007A2E59"/>
    <w:rsid w:val="007A3D07"/>
    <w:rsid w:val="007A651C"/>
    <w:rsid w:val="007B0168"/>
    <w:rsid w:val="007B12D3"/>
    <w:rsid w:val="007B5DC6"/>
    <w:rsid w:val="007B72A6"/>
    <w:rsid w:val="007C455E"/>
    <w:rsid w:val="007C6590"/>
    <w:rsid w:val="007D0AAF"/>
    <w:rsid w:val="007D1583"/>
    <w:rsid w:val="007D1D4A"/>
    <w:rsid w:val="007D35C0"/>
    <w:rsid w:val="007E7377"/>
    <w:rsid w:val="007F0358"/>
    <w:rsid w:val="007F0BA0"/>
    <w:rsid w:val="0080210D"/>
    <w:rsid w:val="008047A6"/>
    <w:rsid w:val="008052AB"/>
    <w:rsid w:val="0080560F"/>
    <w:rsid w:val="00807FB5"/>
    <w:rsid w:val="0081166C"/>
    <w:rsid w:val="008137A0"/>
    <w:rsid w:val="008144CF"/>
    <w:rsid w:val="00816154"/>
    <w:rsid w:val="008200DD"/>
    <w:rsid w:val="0083034E"/>
    <w:rsid w:val="00832C5F"/>
    <w:rsid w:val="008331A5"/>
    <w:rsid w:val="0083464B"/>
    <w:rsid w:val="0083506F"/>
    <w:rsid w:val="0084144E"/>
    <w:rsid w:val="00841B2C"/>
    <w:rsid w:val="00843721"/>
    <w:rsid w:val="00845040"/>
    <w:rsid w:val="00846A4F"/>
    <w:rsid w:val="00850F95"/>
    <w:rsid w:val="00854654"/>
    <w:rsid w:val="0085710A"/>
    <w:rsid w:val="008610DA"/>
    <w:rsid w:val="00861D37"/>
    <w:rsid w:val="00863167"/>
    <w:rsid w:val="008668EB"/>
    <w:rsid w:val="00871817"/>
    <w:rsid w:val="00873B67"/>
    <w:rsid w:val="008742CF"/>
    <w:rsid w:val="00874618"/>
    <w:rsid w:val="0088398C"/>
    <w:rsid w:val="00883BC6"/>
    <w:rsid w:val="00883BD0"/>
    <w:rsid w:val="0088436B"/>
    <w:rsid w:val="008851E4"/>
    <w:rsid w:val="0089705E"/>
    <w:rsid w:val="008A07D3"/>
    <w:rsid w:val="008A3F5A"/>
    <w:rsid w:val="008A4923"/>
    <w:rsid w:val="008A5D74"/>
    <w:rsid w:val="008B48BA"/>
    <w:rsid w:val="008C028D"/>
    <w:rsid w:val="008C5BFD"/>
    <w:rsid w:val="008C71A3"/>
    <w:rsid w:val="008D1975"/>
    <w:rsid w:val="008D6F77"/>
    <w:rsid w:val="008E03D8"/>
    <w:rsid w:val="008E109C"/>
    <w:rsid w:val="008E51E9"/>
    <w:rsid w:val="008E583D"/>
    <w:rsid w:val="008E76FF"/>
    <w:rsid w:val="008F72D7"/>
    <w:rsid w:val="00900E9F"/>
    <w:rsid w:val="00903D14"/>
    <w:rsid w:val="00903F8B"/>
    <w:rsid w:val="00907DF7"/>
    <w:rsid w:val="00911920"/>
    <w:rsid w:val="00913DDD"/>
    <w:rsid w:val="00915C37"/>
    <w:rsid w:val="00915CF9"/>
    <w:rsid w:val="00917FC1"/>
    <w:rsid w:val="00920D20"/>
    <w:rsid w:val="009212A4"/>
    <w:rsid w:val="00930FDD"/>
    <w:rsid w:val="00936399"/>
    <w:rsid w:val="00936FA3"/>
    <w:rsid w:val="009420C9"/>
    <w:rsid w:val="009428C4"/>
    <w:rsid w:val="00943590"/>
    <w:rsid w:val="009438ED"/>
    <w:rsid w:val="00950CCC"/>
    <w:rsid w:val="00952294"/>
    <w:rsid w:val="00952712"/>
    <w:rsid w:val="00954B26"/>
    <w:rsid w:val="00960C61"/>
    <w:rsid w:val="00961CFB"/>
    <w:rsid w:val="00961F70"/>
    <w:rsid w:val="00965BBF"/>
    <w:rsid w:val="00972D50"/>
    <w:rsid w:val="0098353D"/>
    <w:rsid w:val="009835DC"/>
    <w:rsid w:val="009851F3"/>
    <w:rsid w:val="00986A35"/>
    <w:rsid w:val="00997A0F"/>
    <w:rsid w:val="009A22A8"/>
    <w:rsid w:val="009B0DB6"/>
    <w:rsid w:val="009B181C"/>
    <w:rsid w:val="009B2172"/>
    <w:rsid w:val="009B2360"/>
    <w:rsid w:val="009B61CB"/>
    <w:rsid w:val="009C1E53"/>
    <w:rsid w:val="009C29DD"/>
    <w:rsid w:val="009C6A21"/>
    <w:rsid w:val="009C6FB1"/>
    <w:rsid w:val="009D03A4"/>
    <w:rsid w:val="009D09F3"/>
    <w:rsid w:val="009D1AC9"/>
    <w:rsid w:val="009D43DA"/>
    <w:rsid w:val="009D698C"/>
    <w:rsid w:val="009E274C"/>
    <w:rsid w:val="009E2B5E"/>
    <w:rsid w:val="009E3D69"/>
    <w:rsid w:val="009E48A4"/>
    <w:rsid w:val="009F42E3"/>
    <w:rsid w:val="009F6553"/>
    <w:rsid w:val="009F6F75"/>
    <w:rsid w:val="00A01512"/>
    <w:rsid w:val="00A0368E"/>
    <w:rsid w:val="00A048A8"/>
    <w:rsid w:val="00A06429"/>
    <w:rsid w:val="00A10CF9"/>
    <w:rsid w:val="00A11B29"/>
    <w:rsid w:val="00A1548D"/>
    <w:rsid w:val="00A214D3"/>
    <w:rsid w:val="00A22D74"/>
    <w:rsid w:val="00A238C7"/>
    <w:rsid w:val="00A320A5"/>
    <w:rsid w:val="00A327A3"/>
    <w:rsid w:val="00A327DB"/>
    <w:rsid w:val="00A332E0"/>
    <w:rsid w:val="00A33C4A"/>
    <w:rsid w:val="00A43CD3"/>
    <w:rsid w:val="00A5170A"/>
    <w:rsid w:val="00A5494E"/>
    <w:rsid w:val="00A56509"/>
    <w:rsid w:val="00A60166"/>
    <w:rsid w:val="00A61F57"/>
    <w:rsid w:val="00A6306E"/>
    <w:rsid w:val="00A654A9"/>
    <w:rsid w:val="00A65556"/>
    <w:rsid w:val="00A70745"/>
    <w:rsid w:val="00A81747"/>
    <w:rsid w:val="00A8219C"/>
    <w:rsid w:val="00A83BDA"/>
    <w:rsid w:val="00A84315"/>
    <w:rsid w:val="00A84AD0"/>
    <w:rsid w:val="00A93401"/>
    <w:rsid w:val="00A97C91"/>
    <w:rsid w:val="00AA0454"/>
    <w:rsid w:val="00AA1859"/>
    <w:rsid w:val="00AA47DD"/>
    <w:rsid w:val="00AA60F3"/>
    <w:rsid w:val="00AA67D7"/>
    <w:rsid w:val="00AA7A35"/>
    <w:rsid w:val="00AB6E96"/>
    <w:rsid w:val="00AB7501"/>
    <w:rsid w:val="00AC0E96"/>
    <w:rsid w:val="00AC1442"/>
    <w:rsid w:val="00AC19BE"/>
    <w:rsid w:val="00AC290F"/>
    <w:rsid w:val="00AC557C"/>
    <w:rsid w:val="00AD0F13"/>
    <w:rsid w:val="00AD28E9"/>
    <w:rsid w:val="00AD6719"/>
    <w:rsid w:val="00AD7154"/>
    <w:rsid w:val="00AD73FA"/>
    <w:rsid w:val="00AE2301"/>
    <w:rsid w:val="00AE3092"/>
    <w:rsid w:val="00AF41BF"/>
    <w:rsid w:val="00AF70AD"/>
    <w:rsid w:val="00B00011"/>
    <w:rsid w:val="00B04802"/>
    <w:rsid w:val="00B049A3"/>
    <w:rsid w:val="00B055C7"/>
    <w:rsid w:val="00B0749C"/>
    <w:rsid w:val="00B1074F"/>
    <w:rsid w:val="00B12A5D"/>
    <w:rsid w:val="00B17792"/>
    <w:rsid w:val="00B21B8B"/>
    <w:rsid w:val="00B245F7"/>
    <w:rsid w:val="00B350DA"/>
    <w:rsid w:val="00B3585A"/>
    <w:rsid w:val="00B41087"/>
    <w:rsid w:val="00B4182E"/>
    <w:rsid w:val="00B41C5C"/>
    <w:rsid w:val="00B44DFE"/>
    <w:rsid w:val="00B5270E"/>
    <w:rsid w:val="00B576BB"/>
    <w:rsid w:val="00B57E4E"/>
    <w:rsid w:val="00B6037C"/>
    <w:rsid w:val="00B614E9"/>
    <w:rsid w:val="00B667D6"/>
    <w:rsid w:val="00B67333"/>
    <w:rsid w:val="00B71604"/>
    <w:rsid w:val="00B722C2"/>
    <w:rsid w:val="00B72B78"/>
    <w:rsid w:val="00B74476"/>
    <w:rsid w:val="00B75357"/>
    <w:rsid w:val="00B83E8C"/>
    <w:rsid w:val="00B96134"/>
    <w:rsid w:val="00BA0C1A"/>
    <w:rsid w:val="00BA1957"/>
    <w:rsid w:val="00BB1AB1"/>
    <w:rsid w:val="00BB4120"/>
    <w:rsid w:val="00BC5000"/>
    <w:rsid w:val="00BD0ECE"/>
    <w:rsid w:val="00BD1E72"/>
    <w:rsid w:val="00BD648C"/>
    <w:rsid w:val="00BE7267"/>
    <w:rsid w:val="00BE73E2"/>
    <w:rsid w:val="00BF0945"/>
    <w:rsid w:val="00BF1219"/>
    <w:rsid w:val="00BF1D0D"/>
    <w:rsid w:val="00BF258B"/>
    <w:rsid w:val="00BF75AA"/>
    <w:rsid w:val="00C00CD3"/>
    <w:rsid w:val="00C014D5"/>
    <w:rsid w:val="00C123E2"/>
    <w:rsid w:val="00C129F7"/>
    <w:rsid w:val="00C3281C"/>
    <w:rsid w:val="00C32FEA"/>
    <w:rsid w:val="00C35692"/>
    <w:rsid w:val="00C36339"/>
    <w:rsid w:val="00C412D3"/>
    <w:rsid w:val="00C42BFA"/>
    <w:rsid w:val="00C43D3F"/>
    <w:rsid w:val="00C47716"/>
    <w:rsid w:val="00C47E6F"/>
    <w:rsid w:val="00C5066B"/>
    <w:rsid w:val="00C51099"/>
    <w:rsid w:val="00C53309"/>
    <w:rsid w:val="00C55D9B"/>
    <w:rsid w:val="00C56E91"/>
    <w:rsid w:val="00C57238"/>
    <w:rsid w:val="00C63B20"/>
    <w:rsid w:val="00C6525E"/>
    <w:rsid w:val="00C665C5"/>
    <w:rsid w:val="00C71D55"/>
    <w:rsid w:val="00C71F44"/>
    <w:rsid w:val="00C726E4"/>
    <w:rsid w:val="00C75083"/>
    <w:rsid w:val="00C750DB"/>
    <w:rsid w:val="00C76587"/>
    <w:rsid w:val="00C80136"/>
    <w:rsid w:val="00C80CD3"/>
    <w:rsid w:val="00C8345E"/>
    <w:rsid w:val="00C8499C"/>
    <w:rsid w:val="00C87568"/>
    <w:rsid w:val="00C96F68"/>
    <w:rsid w:val="00CB3948"/>
    <w:rsid w:val="00CB685D"/>
    <w:rsid w:val="00CC17ED"/>
    <w:rsid w:val="00CD3E93"/>
    <w:rsid w:val="00CD51AE"/>
    <w:rsid w:val="00CE048B"/>
    <w:rsid w:val="00CF0654"/>
    <w:rsid w:val="00CF19D7"/>
    <w:rsid w:val="00CF50A9"/>
    <w:rsid w:val="00D02692"/>
    <w:rsid w:val="00D06634"/>
    <w:rsid w:val="00D14E8D"/>
    <w:rsid w:val="00D20C6B"/>
    <w:rsid w:val="00D21744"/>
    <w:rsid w:val="00D219A6"/>
    <w:rsid w:val="00D272D4"/>
    <w:rsid w:val="00D3079F"/>
    <w:rsid w:val="00D307F5"/>
    <w:rsid w:val="00D35714"/>
    <w:rsid w:val="00D419B4"/>
    <w:rsid w:val="00D446C1"/>
    <w:rsid w:val="00D525EA"/>
    <w:rsid w:val="00D556B1"/>
    <w:rsid w:val="00D56054"/>
    <w:rsid w:val="00D611B8"/>
    <w:rsid w:val="00D6205A"/>
    <w:rsid w:val="00D63232"/>
    <w:rsid w:val="00D65E55"/>
    <w:rsid w:val="00D704FF"/>
    <w:rsid w:val="00D717DB"/>
    <w:rsid w:val="00D773F1"/>
    <w:rsid w:val="00D827C0"/>
    <w:rsid w:val="00D864CC"/>
    <w:rsid w:val="00D86F2E"/>
    <w:rsid w:val="00D91D5D"/>
    <w:rsid w:val="00D92261"/>
    <w:rsid w:val="00D9291F"/>
    <w:rsid w:val="00D93469"/>
    <w:rsid w:val="00D93910"/>
    <w:rsid w:val="00D94769"/>
    <w:rsid w:val="00D947FF"/>
    <w:rsid w:val="00D95655"/>
    <w:rsid w:val="00D9690F"/>
    <w:rsid w:val="00D96E42"/>
    <w:rsid w:val="00D9755D"/>
    <w:rsid w:val="00D97579"/>
    <w:rsid w:val="00D97D5B"/>
    <w:rsid w:val="00DA2A56"/>
    <w:rsid w:val="00DA62C8"/>
    <w:rsid w:val="00DA7F7B"/>
    <w:rsid w:val="00DB11F6"/>
    <w:rsid w:val="00DB3518"/>
    <w:rsid w:val="00DB51DF"/>
    <w:rsid w:val="00DC3639"/>
    <w:rsid w:val="00DD5053"/>
    <w:rsid w:val="00DF2C16"/>
    <w:rsid w:val="00DF34EC"/>
    <w:rsid w:val="00DF5D2C"/>
    <w:rsid w:val="00DF7673"/>
    <w:rsid w:val="00E00807"/>
    <w:rsid w:val="00E03182"/>
    <w:rsid w:val="00E04D6D"/>
    <w:rsid w:val="00E12862"/>
    <w:rsid w:val="00E12ACE"/>
    <w:rsid w:val="00E141A9"/>
    <w:rsid w:val="00E22691"/>
    <w:rsid w:val="00E337B7"/>
    <w:rsid w:val="00E3460C"/>
    <w:rsid w:val="00E46EDE"/>
    <w:rsid w:val="00E47E5E"/>
    <w:rsid w:val="00E51EC5"/>
    <w:rsid w:val="00E52D38"/>
    <w:rsid w:val="00E54493"/>
    <w:rsid w:val="00E54A62"/>
    <w:rsid w:val="00E60414"/>
    <w:rsid w:val="00E610C8"/>
    <w:rsid w:val="00E63802"/>
    <w:rsid w:val="00E63BE3"/>
    <w:rsid w:val="00E755F8"/>
    <w:rsid w:val="00E80DE0"/>
    <w:rsid w:val="00E82EFB"/>
    <w:rsid w:val="00E85C32"/>
    <w:rsid w:val="00E913CF"/>
    <w:rsid w:val="00E91D7A"/>
    <w:rsid w:val="00E94B9D"/>
    <w:rsid w:val="00E95794"/>
    <w:rsid w:val="00EA1DBB"/>
    <w:rsid w:val="00EA2F08"/>
    <w:rsid w:val="00EA6896"/>
    <w:rsid w:val="00EB2D13"/>
    <w:rsid w:val="00EB3A6A"/>
    <w:rsid w:val="00EB4FE6"/>
    <w:rsid w:val="00EB59E4"/>
    <w:rsid w:val="00EB70B6"/>
    <w:rsid w:val="00EC235E"/>
    <w:rsid w:val="00EC47FA"/>
    <w:rsid w:val="00ED08CD"/>
    <w:rsid w:val="00ED0E05"/>
    <w:rsid w:val="00ED20FE"/>
    <w:rsid w:val="00ED3E8C"/>
    <w:rsid w:val="00ED45B4"/>
    <w:rsid w:val="00ED4A5A"/>
    <w:rsid w:val="00EE46F8"/>
    <w:rsid w:val="00EE557A"/>
    <w:rsid w:val="00EE6C95"/>
    <w:rsid w:val="00EE7034"/>
    <w:rsid w:val="00EF4282"/>
    <w:rsid w:val="00F03363"/>
    <w:rsid w:val="00F03BF5"/>
    <w:rsid w:val="00F04F41"/>
    <w:rsid w:val="00F10A9B"/>
    <w:rsid w:val="00F11BCC"/>
    <w:rsid w:val="00F11C72"/>
    <w:rsid w:val="00F1734C"/>
    <w:rsid w:val="00F17F1C"/>
    <w:rsid w:val="00F24F24"/>
    <w:rsid w:val="00F4269A"/>
    <w:rsid w:val="00F42A71"/>
    <w:rsid w:val="00F44B16"/>
    <w:rsid w:val="00F45621"/>
    <w:rsid w:val="00F50302"/>
    <w:rsid w:val="00F546D5"/>
    <w:rsid w:val="00F56CAF"/>
    <w:rsid w:val="00F64823"/>
    <w:rsid w:val="00F71425"/>
    <w:rsid w:val="00F90078"/>
    <w:rsid w:val="00F94235"/>
    <w:rsid w:val="00FA252B"/>
    <w:rsid w:val="00FA32B5"/>
    <w:rsid w:val="00FA5F81"/>
    <w:rsid w:val="00FA71C2"/>
    <w:rsid w:val="00FB65F0"/>
    <w:rsid w:val="00FB72C3"/>
    <w:rsid w:val="00FC0F1F"/>
    <w:rsid w:val="00FC240C"/>
    <w:rsid w:val="00FC4376"/>
    <w:rsid w:val="00FE1EF1"/>
    <w:rsid w:val="00FE2E55"/>
    <w:rsid w:val="00FE3F93"/>
    <w:rsid w:val="00FF13F3"/>
    <w:rsid w:val="00FF2548"/>
    <w:rsid w:val="00FF73F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585C1"/>
  <w15:docId w15:val="{8CE462E3-3241-4F46-B019-252D8CC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JiscHeader"/>
    <w:next w:val="Normal"/>
    <w:link w:val="Heading1Char"/>
    <w:uiPriority w:val="9"/>
    <w:qFormat/>
    <w:rsid w:val="00FB72C3"/>
    <w:pPr>
      <w:spacing w:before="400" w:after="200"/>
      <w:jc w:val="left"/>
      <w:outlineLvl w:val="0"/>
    </w:pPr>
    <w:rPr>
      <w:color w:val="B71A8B" w:themeColor="accent4"/>
      <w:sz w:val="44"/>
      <w:szCs w:val="44"/>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unhideWhenUsed/>
    <w:rsid w:val="004913A4"/>
    <w:pPr>
      <w:spacing w:line="240" w:lineRule="auto"/>
    </w:pPr>
    <w:rPr>
      <w:szCs w:val="20"/>
    </w:rPr>
  </w:style>
  <w:style w:type="character" w:customStyle="1" w:styleId="CommentTextChar">
    <w:name w:val="Comment Text Char"/>
    <w:link w:val="CommentText"/>
    <w:uiPriority w:val="99"/>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FB72C3"/>
    <w:rPr>
      <w:rFonts w:eastAsia="Times New Roman"/>
      <w:color w:val="B71A8B" w:themeColor="accent4"/>
      <w:sz w:val="44"/>
      <w:szCs w:val="44"/>
      <w:lang w:eastAsia="x-none"/>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023D5B"/>
    <w:pPr>
      <w:keepNext/>
      <w:tabs>
        <w:tab w:val="clear" w:pos="4513"/>
        <w:tab w:val="clear" w:pos="9026"/>
      </w:tabs>
      <w:suppressAutoHyphens w:val="0"/>
      <w:autoSpaceDN/>
      <w:spacing w:before="600" w:after="24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outlineLvl w:val="9"/>
    </w:pPr>
    <w:rPr>
      <w:rFonts w:ascii="Cambria"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972D50"/>
    <w:rPr>
      <w:color w:val="8200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18686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rcid.org/content/requiring-orcid-publication-workflows-open-let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jats4r.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so.org/workrooms/al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ed8d8e-735d-4020-8679-fc6c7b35ba8b">5A7VYUX4WZA7-904198781-2528</_dlc_DocId>
    <_dlc_DocIdUrl xmlns="79ed8d8e-735d-4020-8679-fc6c7b35ba8b">
      <Url>https://jisc365.sharepoint.com/sites/dcrd/jcts/_layouts/15/DocIdRedir.aspx?ID=5A7VYUX4WZA7-904198781-2528</Url>
      <Description>5A7VYUX4WZA7-904198781-2528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46C4CB7BD96E49AEB4A4BC701A431A" ma:contentTypeVersion="0" ma:contentTypeDescription="Create a new document." ma:contentTypeScope="" ma:versionID="0ab6d5e6fa43634601150d56273533a0">
  <xsd:schema xmlns:xsd="http://www.w3.org/2001/XMLSchema" xmlns:xs="http://www.w3.org/2001/XMLSchema" xmlns:p="http://schemas.microsoft.com/office/2006/metadata/properties" xmlns:ns2="79ed8d8e-735d-4020-8679-fc6c7b35ba8b" targetNamespace="http://schemas.microsoft.com/office/2006/metadata/properties" ma:root="true" ma:fieldsID="ee9b0e9f5048c642eb24c1537c7f1d7a" ns2:_="">
    <xsd:import namespace="79ed8d8e-735d-4020-8679-fc6c7b35ba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d8d8e-735d-4020-8679-fc6c7b35ba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3B7DB646-720D-47A3-BC43-A0796E6F0686}">
  <ds:schemaRefs>
    <ds:schemaRef ds:uri="Microsoft.SharePoint.Taxonomy.ContentTypeSync"/>
  </ds:schemaRefs>
</ds:datastoreItem>
</file>

<file path=customXml/itemProps2.xml><?xml version="1.0" encoding="utf-8"?>
<ds:datastoreItem xmlns:ds="http://schemas.openxmlformats.org/officeDocument/2006/customXml" ds:itemID="{6EADDB3E-7E4F-4BDE-97D1-B36BDCE290A4}">
  <ds:schemaRefs>
    <ds:schemaRef ds:uri="http://schemas.microsoft.com/sharepoint/events"/>
  </ds:schemaRefs>
</ds:datastoreItem>
</file>

<file path=customXml/itemProps3.xml><?xml version="1.0" encoding="utf-8"?>
<ds:datastoreItem xmlns:ds="http://schemas.openxmlformats.org/officeDocument/2006/customXml" ds:itemID="{E0344BD6-3C14-4CD4-B1A1-0B7ED2B87976}">
  <ds:schemaRefs>
    <ds:schemaRef ds:uri="http://schemas.microsoft.com/sharepoint/v3/contenttype/forms"/>
  </ds:schemaRefs>
</ds:datastoreItem>
</file>

<file path=customXml/itemProps4.xml><?xml version="1.0" encoding="utf-8"?>
<ds:datastoreItem xmlns:ds="http://schemas.openxmlformats.org/officeDocument/2006/customXml" ds:itemID="{629B8538-7A59-4BA1-A45C-954C6D6E36EC}">
  <ds:schemaRefs>
    <ds:schemaRef ds:uri="http://schemas.microsoft.com/office/2006/metadata/properties"/>
    <ds:schemaRef ds:uri="http://schemas.microsoft.com/office/infopath/2007/PartnerControls"/>
    <ds:schemaRef ds:uri="79ed8d8e-735d-4020-8679-fc6c7b35ba8b"/>
  </ds:schemaRefs>
</ds:datastoreItem>
</file>

<file path=customXml/itemProps5.xml><?xml version="1.0" encoding="utf-8"?>
<ds:datastoreItem xmlns:ds="http://schemas.openxmlformats.org/officeDocument/2006/customXml" ds:itemID="{02784A1A-C268-46E1-9506-F83E98B1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d8d8e-735d-4020-8679-fc6c7b35b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2EC3F7-33C6-48AC-9E00-17E5C301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16572</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Neil Jacobs</cp:lastModifiedBy>
  <cp:revision>3</cp:revision>
  <cp:lastPrinted>2013-10-25T15:47:00Z</cp:lastPrinted>
  <dcterms:created xsi:type="dcterms:W3CDTF">2016-04-26T18:56:00Z</dcterms:created>
  <dcterms:modified xsi:type="dcterms:W3CDTF">2016-04-27T08:12:00Z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0x010100D146C4CB7BD96E49AEB4A4BC701A431A</vt:lpwstr>
  </property>
  <property fmtid="{D5CDD505-2E9C-101B-9397-08002B2CF9AE}" pid="3" name="_dlc_DocIdItemGuid">
    <vt:lpwstr>88675d5b-c3f6-4de7-b674-08755c9ad2e5</vt:lpwstr>
  </property>
</Properties>
</file>